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C35" w:rsidRPr="00A71C35" w:rsidRDefault="00A71C35" w:rsidP="00A71C35">
      <w:pPr>
        <w:pageBreakBefore/>
        <w:shd w:val="clear" w:color="auto" w:fill="002060"/>
        <w:spacing w:before="240" w:after="200" w:line="276" w:lineRule="auto"/>
        <w:ind w:right="-285"/>
        <w:jc w:val="center"/>
        <w:outlineLvl w:val="0"/>
        <w:rPr>
          <w:rFonts w:ascii="Calibri" w:eastAsia="SimSun" w:hAnsi="Calibri"/>
          <w:b/>
          <w:color w:val="auto"/>
        </w:rPr>
      </w:pPr>
      <w:r w:rsidRPr="00A71C35">
        <w:rPr>
          <w:rFonts w:ascii="Calibri" w:eastAsia="SimSun" w:hAnsi="Calibri"/>
          <w:b/>
          <w:color w:val="auto"/>
          <w:u w:val="single"/>
        </w:rPr>
        <w:t>Target 1.4</w:t>
      </w:r>
      <w:r w:rsidRPr="00A71C35">
        <w:rPr>
          <w:rFonts w:ascii="Calibri" w:eastAsia="SimSun" w:hAnsi="Calibri"/>
          <w:color w:val="auto"/>
          <w:shd w:val="clear" w:color="auto" w:fill="F2F2F2"/>
        </w:rPr>
        <w:br/>
      </w:r>
      <w:r w:rsidRPr="00A71C35">
        <w:rPr>
          <w:rFonts w:ascii="Calibri" w:eastAsia="SimSun" w:hAnsi="Calibri"/>
          <w:b/>
          <w:color w:val="auto"/>
        </w:rPr>
        <w:t>By 2030, ensure that all men and women, in particular the poor and the vulnerable, have equal rights to economic resources, as well as access to basic services, ownership and control over land and other forms of property, inheritance, natural resources, appropriate new technology and financial services, including microfinance</w:t>
      </w:r>
    </w:p>
    <w:p w:rsidR="00A71C35" w:rsidRPr="00A71C35" w:rsidRDefault="00A71C35" w:rsidP="00A71C35">
      <w:pPr>
        <w:tabs>
          <w:tab w:val="left" w:pos="0"/>
        </w:tabs>
        <w:suppressAutoHyphens/>
        <w:spacing w:after="200" w:line="276" w:lineRule="auto"/>
        <w:ind w:right="-285"/>
        <w:jc w:val="both"/>
        <w:rPr>
          <w:rFonts w:ascii="Calibri" w:eastAsia="SimSun" w:hAnsi="Calibri"/>
          <w:i/>
          <w:color w:val="00000A"/>
          <w:sz w:val="22"/>
        </w:rPr>
        <w:sectPr w:rsidR="00A71C35" w:rsidRPr="00A71C35" w:rsidSect="00F63D3E">
          <w:pgSz w:w="11907" w:h="16840" w:code="9"/>
          <w:pgMar w:top="1560" w:right="1418" w:bottom="1134" w:left="1418" w:header="709" w:footer="709" w:gutter="0"/>
          <w:cols w:space="708"/>
          <w:docGrid w:linePitch="360"/>
        </w:sectPr>
      </w:pP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71C35">
        <w:rPr>
          <w:rFonts w:ascii="Calibri" w:eastAsia="SimSun" w:hAnsi="Calibri"/>
          <w:i/>
          <w:color w:val="00000A"/>
          <w:sz w:val="22"/>
        </w:rPr>
        <w:lastRenderedPageBreak/>
        <w:t>FAO is highly concerned that UNSD’s preliminary list of May determined only one priority indicator for this target, down from two in its February list. Target 1.4 includes numerous elements that cannot be subsumed under one sole indicator. Moreover, this choice appears to be superficially linked to the particular order of these elements in the target (basic services come before ownership and control over land), even though there is no objective reason to assume a prioritization between the two on this basis. As such, FAO’s comments will be drawn in reference to the earlier February list.</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71C35">
        <w:rPr>
          <w:rFonts w:ascii="Calibri" w:eastAsia="SimSun" w:hAnsi="Calibri"/>
          <w:i/>
          <w:color w:val="00000A"/>
          <w:sz w:val="22"/>
        </w:rPr>
        <w:t xml:space="preserve">FAO recognizes the value of the tenure indicator included in UNSD’s February preliminary list. However, such an indicator poses several challenges in terms of feasibility, methodology and data availability. In order to be operational, the indicator should be more specific, and focus either on “equality in recognition and documentation” or on “perception of tenure security”. The attempt to address the two issues (equality and perception) with one indicator could result into misleading and incomparable data. In addition, “perception of tenure security” requires focused and not trivial methodological efforts in order to reach a proper operational definition. </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71C35">
        <w:rPr>
          <w:rFonts w:ascii="Calibri" w:eastAsia="SimSun" w:hAnsi="Calibri"/>
          <w:i/>
          <w:color w:val="00000A"/>
          <w:sz w:val="22"/>
        </w:rPr>
        <w:t xml:space="preserve">On this basis, FAO believes that an alternative indicator will be more appropriate to monitor Target 1.4 adequately. As an alternative to the current tenure indicator, FAO proposes the following indicator: </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color w:val="00000A"/>
          <w:sz w:val="22"/>
        </w:rPr>
      </w:pPr>
      <w:r w:rsidRPr="00A71C35">
        <w:rPr>
          <w:rFonts w:ascii="Calibri" w:eastAsia="SimSun" w:hAnsi="Calibri"/>
          <w:color w:val="00000A"/>
          <w:sz w:val="22"/>
        </w:rPr>
        <w:t xml:space="preserve">“Percentage of female/male agricultural landowners out of total agricultural landowners”, disaggregated by age groups, ethnicity and income levels” </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71C35">
        <w:rPr>
          <w:rFonts w:ascii="Calibri" w:eastAsia="SimSun" w:hAnsi="Calibri"/>
          <w:i/>
          <w:color w:val="00000A"/>
          <w:sz w:val="22"/>
        </w:rPr>
        <w:t>This indicator shows the distribution of male and female owners of agricultural land and hence zooms in on gender inequalities in this highly important productive resource. An increase in the percentage of female landowners indicates that out of those with ownership rights to land, women account for a larger proportion, signifying progress towards equal rights to land. This indicator is based on a broad definition of ownership. In addition to officially titled ownership, it also includes other proxies, such as the right to use, sell or bequeath the land. This enable the indicator to capture a “bundle of rights” related to land, rather than land ownership in the strictest sense of the term. The indicator frames gender differences in resource ownership by comparing the proportions of men and women out of those that have some degree of rights to land.  As such it gives a clearer picture of the gender-based inequalities in land ownership, than for instance, the incidence of female/male ownership in the entire population of a country, as the latter will also be affected by many other factors above and beyond gender inequality in women’s property rights over land. The feasibility of the indicator is positively affected by multiple global efforts that will make this indicator more available in the future (see factsheet for further details).</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71C35">
        <w:rPr>
          <w:rFonts w:ascii="Calibri" w:eastAsia="SimSun" w:hAnsi="Calibri"/>
          <w:i/>
          <w:color w:val="00000A"/>
          <w:sz w:val="22"/>
        </w:rPr>
        <w:t xml:space="preserve">Besides the landowners’ indicator proposed above, FAO proposes an alternative indicator that also reflects control over and access to land: </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color w:val="00000A"/>
          <w:sz w:val="22"/>
        </w:rPr>
      </w:pPr>
      <w:r w:rsidRPr="00A71C35">
        <w:rPr>
          <w:rFonts w:ascii="Calibri" w:eastAsia="SimSun" w:hAnsi="Calibri"/>
          <w:color w:val="00000A"/>
          <w:sz w:val="22"/>
        </w:rPr>
        <w:t xml:space="preserve">“Proportion of adult women/men agricultural holders, out of total agricultural holders” </w:t>
      </w:r>
    </w:p>
    <w:p w:rsidR="00A71C35" w:rsidRPr="00A71C35" w:rsidRDefault="00A71C35" w:rsidP="00A71C35">
      <w:pPr>
        <w:shd w:val="clear" w:color="auto" w:fill="FFFFFF"/>
        <w:tabs>
          <w:tab w:val="left" w:pos="0"/>
        </w:tabs>
        <w:suppressAutoHyphens/>
        <w:spacing w:after="200" w:line="264" w:lineRule="auto"/>
        <w:ind w:right="-284"/>
        <w:jc w:val="both"/>
        <w:rPr>
          <w:rFonts w:ascii="Calibri" w:eastAsia="SimSun" w:hAnsi="Calibri"/>
          <w:i/>
          <w:color w:val="00000A"/>
          <w:sz w:val="22"/>
        </w:rPr>
      </w:pPr>
      <w:r w:rsidRPr="00A71C35">
        <w:rPr>
          <w:rFonts w:ascii="Calibri" w:eastAsia="SimSun" w:hAnsi="Calibri"/>
          <w:i/>
          <w:color w:val="00000A"/>
          <w:sz w:val="22"/>
        </w:rPr>
        <w:t>The indicator can be further disaggregated by age groups, ethnicity (when applicable) and income levels (see factsheet for further details).</w:t>
      </w:r>
    </w:p>
    <w:p w:rsidR="00A71C35" w:rsidRPr="00A71C35" w:rsidRDefault="00A71C35" w:rsidP="00A71C35">
      <w:pPr>
        <w:pageBreakBefore/>
        <w:shd w:val="clear" w:color="auto" w:fill="99FF99"/>
        <w:spacing w:after="200" w:line="276" w:lineRule="auto"/>
        <w:ind w:right="-285"/>
        <w:jc w:val="center"/>
        <w:outlineLvl w:val="1"/>
        <w:rPr>
          <w:rFonts w:ascii="Calibri" w:eastAsia="SimSun" w:hAnsi="Calibri"/>
          <w:color w:val="auto"/>
          <w:shd w:val="clear" w:color="auto" w:fill="F2F2F2"/>
        </w:rPr>
      </w:pPr>
      <w:bookmarkStart w:id="0" w:name="Indicator1_4_1"/>
      <w:r w:rsidRPr="00A71C35">
        <w:rPr>
          <w:rFonts w:ascii="Calibri" w:eastAsia="SimSun" w:hAnsi="Calibri"/>
          <w:b/>
          <w:color w:val="auto"/>
        </w:rPr>
        <w:lastRenderedPageBreak/>
        <w:t xml:space="preserve">Indicator 1.4.1 (Core) </w:t>
      </w:r>
      <w:r w:rsidRPr="00A71C35">
        <w:rPr>
          <w:rFonts w:ascii="Calibri" w:eastAsia="SimSun" w:hAnsi="Calibri"/>
          <w:b/>
          <w:color w:val="auto"/>
        </w:rPr>
        <w:br/>
        <w:t>“</w:t>
      </w:r>
      <w:r w:rsidRPr="00A71C35">
        <w:rPr>
          <w:rFonts w:ascii="Calibri" w:eastAsia="SimSun" w:hAnsi="Calibri"/>
          <w:color w:val="auto"/>
          <w:shd w:val="clear" w:color="auto" w:fill="99FF99"/>
        </w:rPr>
        <w:t>Percentage of female/male agricultural landowners out of total agricultural landowners”, (disaggregated by age groups, ethnicity and income levels)</w:t>
      </w:r>
    </w:p>
    <w:p w:rsidR="00A71C35" w:rsidRPr="00A71C35" w:rsidRDefault="00A71C35" w:rsidP="00A71C35">
      <w:pPr>
        <w:spacing w:after="200" w:line="276" w:lineRule="auto"/>
        <w:ind w:left="720" w:right="-285"/>
        <w:rPr>
          <w:rFonts w:ascii="Calibri" w:eastAsia="Times New Roman" w:hAnsi="Calibri"/>
          <w:b/>
          <w:bCs/>
          <w:color w:val="auto"/>
          <w:sz w:val="22"/>
          <w:szCs w:val="22"/>
        </w:rPr>
      </w:pPr>
      <w:bookmarkStart w:id="1" w:name="Indicator_1_4_2"/>
    </w:p>
    <w:p w:rsidR="00A71C35" w:rsidRPr="00A71C35" w:rsidRDefault="00A71C35" w:rsidP="00A71C35">
      <w:pPr>
        <w:numPr>
          <w:ilvl w:val="0"/>
          <w:numId w:val="3"/>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iCs/>
          <w:color w:val="auto"/>
          <w:sz w:val="22"/>
          <w:szCs w:val="22"/>
        </w:rPr>
        <w:t>Precise</w:t>
      </w:r>
      <w:r w:rsidRPr="00A71C35">
        <w:rPr>
          <w:rFonts w:ascii="Calibri" w:eastAsia="Times New Roman" w:hAnsi="Calibri"/>
          <w:b/>
          <w:bCs/>
          <w:color w:val="auto"/>
          <w:sz w:val="22"/>
          <w:szCs w:val="22"/>
        </w:rPr>
        <w:t xml:space="preserve"> definition of the indicator</w:t>
      </w:r>
    </w:p>
    <w:p w:rsidR="00A71C35" w:rsidRPr="00A71C35" w:rsidRDefault="00A71C35" w:rsidP="00A71C35">
      <w:pPr>
        <w:spacing w:after="200" w:line="276" w:lineRule="auto"/>
        <w:ind w:right="-285"/>
        <w:jc w:val="both"/>
        <w:rPr>
          <w:rFonts w:ascii="Calibri" w:eastAsia="Calibri" w:hAnsi="Calibri" w:cs="Arial"/>
          <w:color w:val="auto"/>
          <w:sz w:val="22"/>
          <w:szCs w:val="22"/>
          <w:u w:val="single"/>
        </w:rPr>
      </w:pPr>
      <w:r w:rsidRPr="00A71C35">
        <w:rPr>
          <w:rFonts w:ascii="Calibri" w:eastAsia="Calibri" w:hAnsi="Calibri" w:cs="Arial"/>
          <w:color w:val="auto"/>
          <w:sz w:val="22"/>
          <w:szCs w:val="22"/>
          <w:u w:val="single"/>
        </w:rPr>
        <w:t>Definition of indicator:</w:t>
      </w:r>
    </w:p>
    <w:p w:rsidR="00A71C35" w:rsidRPr="00A71C35" w:rsidRDefault="00A71C35" w:rsidP="00A71C35">
      <w:pPr>
        <w:pBdr>
          <w:top w:val="single" w:sz="4" w:space="1" w:color="auto"/>
          <w:left w:val="single" w:sz="4" w:space="4" w:color="auto"/>
          <w:bottom w:val="single" w:sz="4" w:space="1" w:color="auto"/>
          <w:right w:val="single" w:sz="4" w:space="4" w:color="auto"/>
        </w:pBdr>
        <w:spacing w:after="120" w:line="276" w:lineRule="auto"/>
        <w:ind w:right="-285"/>
        <w:jc w:val="center"/>
        <w:rPr>
          <w:rFonts w:ascii="Calibri" w:eastAsia="Times New Roman" w:hAnsi="Calibri"/>
          <w:b/>
          <w:color w:val="auto"/>
          <w:sz w:val="22"/>
          <w:szCs w:val="22"/>
        </w:rPr>
      </w:pPr>
      <m:oMathPara>
        <m:oMath>
          <m:d>
            <m:dPr>
              <m:ctrlPr>
                <w:rPr>
                  <w:rFonts w:ascii="Cambria Math" w:eastAsia="Calibri" w:hAnsi="Calibri"/>
                  <w:b/>
                  <w:i/>
                  <w:color w:val="auto"/>
                  <w:sz w:val="22"/>
                  <w:szCs w:val="22"/>
                </w:rPr>
              </m:ctrlPr>
            </m:dPr>
            <m:e>
              <m:f>
                <m:fPr>
                  <m:ctrlPr>
                    <w:rPr>
                      <w:rFonts w:ascii="Cambria Math" w:eastAsia="Calibri" w:hAnsi="Calibri"/>
                      <w:b/>
                      <w:i/>
                      <w:color w:val="auto"/>
                      <w:sz w:val="22"/>
                      <w:szCs w:val="22"/>
                    </w:rPr>
                  </m:ctrlPr>
                </m:fPr>
                <m:num>
                  <m:r>
                    <m:rPr>
                      <m:sty m:val="bi"/>
                    </m:rPr>
                    <w:rPr>
                      <w:rFonts w:ascii="Cambria Math" w:eastAsia="Calibri" w:hAnsi="Cambria Math"/>
                      <w:color w:val="auto"/>
                      <w:sz w:val="22"/>
                      <w:szCs w:val="22"/>
                    </w:rPr>
                    <m:t>Female</m:t>
                  </m:r>
                  <m:r>
                    <m:rPr>
                      <m:sty m:val="bi"/>
                    </m:rPr>
                    <w:rPr>
                      <w:rFonts w:ascii="Cambria Math" w:eastAsia="Calibri" w:hAnsi="Calibri"/>
                      <w:color w:val="auto"/>
                      <w:sz w:val="22"/>
                      <w:szCs w:val="22"/>
                    </w:rPr>
                    <m:t xml:space="preserve"> Agricultural </m:t>
                  </m:r>
                  <m:r>
                    <m:rPr>
                      <m:sty m:val="bi"/>
                    </m:rPr>
                    <w:rPr>
                      <w:rFonts w:ascii="Cambria Math" w:eastAsia="Calibri" w:hAnsi="Cambria Math"/>
                      <w:color w:val="auto"/>
                      <w:sz w:val="22"/>
                      <w:szCs w:val="22"/>
                    </w:rPr>
                    <m:t>Landowners</m:t>
                  </m:r>
                </m:num>
                <m:den>
                  <m:r>
                    <m:rPr>
                      <m:sty m:val="bi"/>
                    </m:rPr>
                    <w:rPr>
                      <w:rFonts w:ascii="Cambria Math" w:eastAsia="Calibri" w:hAnsi="Cambria Math"/>
                      <w:color w:val="auto"/>
                      <w:sz w:val="22"/>
                      <w:szCs w:val="22"/>
                    </w:rPr>
                    <m:t>Total</m:t>
                  </m:r>
                  <m:r>
                    <m:rPr>
                      <m:sty m:val="bi"/>
                    </m:rPr>
                    <w:rPr>
                      <w:rFonts w:ascii="Cambria Math" w:eastAsia="Calibri" w:hAnsi="Calibri"/>
                      <w:color w:val="auto"/>
                      <w:sz w:val="22"/>
                      <w:szCs w:val="22"/>
                    </w:rPr>
                    <m:t xml:space="preserve"> Agricultural </m:t>
                  </m:r>
                  <m:r>
                    <m:rPr>
                      <m:sty m:val="bi"/>
                    </m:rPr>
                    <w:rPr>
                      <w:rFonts w:ascii="Cambria Math" w:eastAsia="Calibri" w:hAnsi="Cambria Math"/>
                      <w:color w:val="auto"/>
                      <w:sz w:val="22"/>
                      <w:szCs w:val="22"/>
                    </w:rPr>
                    <m:t>Landowners</m:t>
                  </m:r>
                </m:den>
              </m:f>
            </m:e>
          </m:d>
          <m:r>
            <m:rPr>
              <m:sty m:val="bi"/>
            </m:rPr>
            <w:rPr>
              <w:rFonts w:ascii="Cambria Math" w:eastAsia="Calibri" w:hAnsi="Cambria Math"/>
              <w:color w:val="auto"/>
              <w:sz w:val="22"/>
              <w:szCs w:val="22"/>
            </w:rPr>
            <m:t>∙100</m:t>
          </m:r>
        </m:oMath>
      </m:oMathPara>
    </w:p>
    <w:p w:rsidR="00A71C35" w:rsidRPr="00A71C35" w:rsidRDefault="00A71C35" w:rsidP="00A71C35">
      <w:pPr>
        <w:spacing w:after="200" w:line="276" w:lineRule="auto"/>
        <w:ind w:right="-285"/>
        <w:jc w:val="both"/>
        <w:rPr>
          <w:rFonts w:ascii="Calibri" w:eastAsia="Calibri" w:hAnsi="Calibri" w:cs="Arial"/>
          <w:color w:val="auto"/>
          <w:sz w:val="22"/>
          <w:szCs w:val="22"/>
          <w:u w:val="single"/>
        </w:rPr>
      </w:pPr>
      <w:r w:rsidRPr="00A71C35">
        <w:rPr>
          <w:rFonts w:ascii="Calibri" w:eastAsia="Calibri" w:hAnsi="Calibri" w:cs="Arial"/>
          <w:color w:val="auto"/>
          <w:sz w:val="22"/>
          <w:szCs w:val="22"/>
          <w:u w:val="single"/>
        </w:rPr>
        <w:t>Definition of landowner:</w:t>
      </w:r>
    </w:p>
    <w:p w:rsidR="00A71C35" w:rsidRPr="00A71C35" w:rsidRDefault="00A71C35" w:rsidP="00A71C35">
      <w:pPr>
        <w:spacing w:after="200" w:line="276" w:lineRule="auto"/>
        <w:ind w:right="-285"/>
        <w:jc w:val="both"/>
        <w:rPr>
          <w:rFonts w:ascii="Calibri" w:eastAsia="Calibri" w:hAnsi="Calibri" w:cs="Arial"/>
          <w:i/>
          <w:color w:val="auto"/>
          <w:sz w:val="22"/>
          <w:szCs w:val="22"/>
        </w:rPr>
      </w:pPr>
      <w:r w:rsidRPr="00A71C35">
        <w:rPr>
          <w:rFonts w:ascii="Calibri" w:eastAsia="Calibri" w:hAnsi="Calibri" w:cs="Arial"/>
          <w:i/>
          <w:color w:val="auto"/>
          <w:sz w:val="22"/>
          <w:szCs w:val="22"/>
        </w:rPr>
        <w:t>The landowner is the legal owner of the land. However, definitions of ownership may vary across countries and surveys. For instance, documented ownership means that ownership is verified through title or deed, while reported ownership relies on individuals’ own judgment. Additionally, in some countries, it is more appropriate to investigate land ownership using proxies able to capture a “bundle of rights”. Therefore, the indicator will need to be complemented with metadata that specify what definition(s) of ownership is employed.</w:t>
      </w:r>
    </w:p>
    <w:p w:rsidR="00A71C35" w:rsidRPr="00A71C35" w:rsidRDefault="00A71C35" w:rsidP="00A71C35">
      <w:pPr>
        <w:numPr>
          <w:ilvl w:val="0"/>
          <w:numId w:val="3"/>
        </w:numPr>
        <w:suppressAutoHyphens/>
        <w:spacing w:before="240" w:after="200" w:line="276" w:lineRule="auto"/>
        <w:ind w:right="-285"/>
        <w:contextualSpacing/>
        <w:rPr>
          <w:rFonts w:ascii="Calibri" w:eastAsia="Times New Roman" w:hAnsi="Calibri"/>
          <w:b/>
          <w:bCs/>
          <w:color w:val="auto"/>
          <w:sz w:val="22"/>
          <w:szCs w:val="22"/>
        </w:rPr>
      </w:pPr>
      <w:r w:rsidRPr="00A71C35">
        <w:rPr>
          <w:rFonts w:ascii="Calibri" w:eastAsia="Times New Roman" w:hAnsi="Calibri"/>
          <w:b/>
          <w:bCs/>
          <w:color w:val="auto"/>
          <w:sz w:val="22"/>
          <w:szCs w:val="22"/>
        </w:rPr>
        <w:t>How is the indicator linked to the specific TARGET as worded in the OWG report and copied above?</w:t>
      </w:r>
    </w:p>
    <w:p w:rsidR="00A71C35" w:rsidRPr="00A71C35" w:rsidRDefault="00A71C35" w:rsidP="00A71C35">
      <w:pPr>
        <w:spacing w:before="240" w:after="200" w:line="276" w:lineRule="auto"/>
        <w:ind w:left="720" w:right="-285"/>
        <w:contextualSpacing/>
        <w:rPr>
          <w:rFonts w:ascii="Calibri" w:eastAsia="Times New Roman" w:hAnsi="Calibri"/>
          <w:b/>
          <w:bCs/>
          <w:color w:val="auto"/>
          <w:sz w:val="22"/>
          <w:szCs w:val="22"/>
        </w:rPr>
      </w:pP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The indicator is related to Goal 1, target 1.4: </w:t>
      </w:r>
      <w:r w:rsidRPr="00A71C35">
        <w:rPr>
          <w:rFonts w:ascii="Calibri" w:eastAsia="Calibri" w:hAnsi="Calibri"/>
          <w:i/>
          <w:color w:val="auto"/>
          <w:sz w:val="22"/>
          <w:szCs w:val="22"/>
        </w:rPr>
        <w:t>“By 2030, ensure that all men and women, in particular the poor and the vulnerable, have equal rights to economic resources, as well as access to basic services, ownership and control over land and other forms of property, inheritance, natural resources, appropriate new technology and financial services, including microfinance.”</w:t>
      </w:r>
      <w:r w:rsidRPr="00A71C35">
        <w:rPr>
          <w:rFonts w:ascii="Calibri" w:eastAsia="Calibri" w:hAnsi="Calibri"/>
          <w:color w:val="auto"/>
          <w:sz w:val="22"/>
          <w:szCs w:val="22"/>
        </w:rPr>
        <w:t xml:space="preserve"> </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s="Arial"/>
          <w:color w:val="auto"/>
          <w:sz w:val="22"/>
          <w:szCs w:val="22"/>
        </w:rPr>
        <w:t>More specifically, this indicator monitors “</w:t>
      </w:r>
      <w:r w:rsidRPr="00A71C35">
        <w:rPr>
          <w:rFonts w:ascii="Calibri" w:eastAsia="Calibri" w:hAnsi="Calibri" w:cs="Arial"/>
          <w:b/>
          <w:bCs/>
          <w:color w:val="auto"/>
          <w:sz w:val="22"/>
          <w:szCs w:val="22"/>
        </w:rPr>
        <w:t>ownership of land</w:t>
      </w:r>
      <w:r w:rsidRPr="00A71C35">
        <w:rPr>
          <w:rFonts w:ascii="Calibri" w:eastAsia="Calibri" w:hAnsi="Calibri" w:cs="Arial"/>
          <w:i/>
          <w:color w:val="auto"/>
          <w:sz w:val="22"/>
          <w:szCs w:val="22"/>
        </w:rPr>
        <w:t xml:space="preserve">” </w:t>
      </w:r>
      <w:r w:rsidRPr="00A71C35">
        <w:rPr>
          <w:rFonts w:ascii="Calibri" w:eastAsia="Calibri" w:hAnsi="Calibri" w:cs="Arial"/>
          <w:iCs/>
          <w:color w:val="auto"/>
          <w:sz w:val="22"/>
          <w:szCs w:val="22"/>
        </w:rPr>
        <w:t xml:space="preserve">and it is particularly useful in terms </w:t>
      </w:r>
      <w:r w:rsidRPr="00A71C35">
        <w:rPr>
          <w:rFonts w:ascii="Calibri" w:eastAsia="Calibri" w:hAnsi="Calibri" w:cs="Arial"/>
          <w:color w:val="auto"/>
          <w:sz w:val="22"/>
          <w:szCs w:val="22"/>
        </w:rPr>
        <w:t>of framing gender differences in land ownership whilst relating them specifically to the population of interest, namely landowners. As such it gives a clearer picture of gender inequalities in land ownership, than for instance looking at the incidence of female ownership in the entire population of a country.</w:t>
      </w:r>
      <w:r w:rsidRPr="00A71C35">
        <w:rPr>
          <w:rFonts w:ascii="Calibri" w:eastAsia="Calibri" w:hAnsi="Calibri"/>
          <w:color w:val="auto"/>
          <w:sz w:val="22"/>
          <w:szCs w:val="22"/>
        </w:rPr>
        <w:t xml:space="preserve"> An increase in the percentage of women owning land indicates that, within the population of interest (</w:t>
      </w:r>
      <w:proofErr w:type="spellStart"/>
      <w:proofErr w:type="gramStart"/>
      <w:r w:rsidRPr="00A71C35">
        <w:rPr>
          <w:rFonts w:ascii="Calibri" w:eastAsia="Calibri" w:hAnsi="Calibri"/>
          <w:color w:val="auto"/>
          <w:sz w:val="22"/>
          <w:szCs w:val="22"/>
        </w:rPr>
        <w:t>ie</w:t>
      </w:r>
      <w:proofErr w:type="spellEnd"/>
      <w:r w:rsidRPr="00A71C35">
        <w:rPr>
          <w:rFonts w:ascii="Calibri" w:eastAsia="Calibri" w:hAnsi="Calibri"/>
          <w:color w:val="auto"/>
          <w:sz w:val="22"/>
          <w:szCs w:val="22"/>
        </w:rPr>
        <w:t>.,</w:t>
      </w:r>
      <w:proofErr w:type="gramEnd"/>
      <w:r w:rsidRPr="00A71C35">
        <w:rPr>
          <w:rFonts w:ascii="Calibri" w:eastAsia="Calibri" w:hAnsi="Calibri"/>
          <w:color w:val="auto"/>
          <w:sz w:val="22"/>
          <w:szCs w:val="22"/>
        </w:rPr>
        <w:t xml:space="preserve"> the landowners), progress is made towards achieving equal rights to land among men and women..</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In addition, the indicator focuses on </w:t>
      </w:r>
      <w:r w:rsidRPr="00A71C35">
        <w:rPr>
          <w:rFonts w:ascii="Calibri" w:eastAsia="Calibri" w:hAnsi="Calibri"/>
          <w:b/>
          <w:color w:val="auto"/>
          <w:sz w:val="22"/>
          <w:szCs w:val="22"/>
        </w:rPr>
        <w:t>agricultural</w:t>
      </w:r>
      <w:r w:rsidRPr="00A71C35">
        <w:rPr>
          <w:rFonts w:ascii="Calibri" w:eastAsia="Calibri" w:hAnsi="Calibri"/>
          <w:color w:val="auto"/>
          <w:sz w:val="22"/>
          <w:szCs w:val="22"/>
        </w:rPr>
        <w:t xml:space="preserve"> land, because agricultural land is a productive resource, and focusing on agricultural landownership gives a clearer indication of empowerment, compared to lands used for other purposes that are not economically-related. This is particularly true in developing countries.</w:t>
      </w:r>
    </w:p>
    <w:p w:rsidR="00A71C35" w:rsidRPr="00A71C35" w:rsidRDefault="00A71C35" w:rsidP="00A71C35">
      <w:pPr>
        <w:numPr>
          <w:ilvl w:val="0"/>
          <w:numId w:val="3"/>
        </w:numPr>
        <w:suppressAutoHyphens/>
        <w:spacing w:after="200" w:line="276" w:lineRule="auto"/>
        <w:ind w:right="-285"/>
        <w:contextualSpacing/>
        <w:rPr>
          <w:rFonts w:ascii="Calibri" w:eastAsia="Times New Roman" w:hAnsi="Calibri"/>
          <w:b/>
          <w:bCs/>
          <w:color w:val="auto"/>
          <w:sz w:val="22"/>
          <w:szCs w:val="22"/>
        </w:rPr>
      </w:pPr>
      <w:r w:rsidRPr="00A71C35">
        <w:rPr>
          <w:rFonts w:ascii="Calibri" w:eastAsia="Times New Roman" w:hAnsi="Calibri"/>
          <w:b/>
          <w:bCs/>
          <w:color w:val="auto"/>
          <w:sz w:val="22"/>
          <w:szCs w:val="22"/>
        </w:rPr>
        <w:t>Does the indicator already exist and is it regularly reported?</w:t>
      </w:r>
    </w:p>
    <w:p w:rsidR="00A71C35" w:rsidRPr="00A71C35" w:rsidRDefault="00A71C35" w:rsidP="00A71C35">
      <w:pPr>
        <w:spacing w:after="120" w:line="276" w:lineRule="auto"/>
        <w:ind w:right="-285"/>
        <w:jc w:val="both"/>
        <w:rPr>
          <w:rFonts w:ascii="Calibri" w:eastAsia="Calibri" w:hAnsi="Calibri"/>
          <w:color w:val="auto"/>
          <w:sz w:val="8"/>
          <w:szCs w:val="22"/>
          <w:u w:val="single"/>
        </w:rPr>
      </w:pP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u w:val="single"/>
        </w:rPr>
        <w:t>The indicator already exists</w:t>
      </w:r>
      <w:r w:rsidRPr="00A71C35">
        <w:rPr>
          <w:rFonts w:ascii="Calibri" w:eastAsia="Calibri" w:hAnsi="Calibri"/>
          <w:color w:val="auto"/>
          <w:sz w:val="22"/>
          <w:szCs w:val="22"/>
        </w:rPr>
        <w:t xml:space="preserve">. </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s="Arial"/>
          <w:color w:val="auto"/>
          <w:sz w:val="22"/>
          <w:szCs w:val="22"/>
        </w:rPr>
        <w:t xml:space="preserve">Until now, the indicator has been collected mainly through the LSMS-ISA surveys and to a smaller extent through DHS surveys in collaboration with National Institutes of Statistics. </w:t>
      </w:r>
      <w:r w:rsidRPr="00A71C35">
        <w:rPr>
          <w:rFonts w:ascii="Calibri" w:eastAsia="Calibri" w:hAnsi="Calibri"/>
          <w:color w:val="auto"/>
          <w:sz w:val="22"/>
          <w:szCs w:val="22"/>
        </w:rPr>
        <w:t xml:space="preserve">At the time of writing, </w:t>
      </w:r>
      <w:r w:rsidRPr="00A71C35">
        <w:rPr>
          <w:rFonts w:ascii="Calibri" w:eastAsia="Calibri" w:hAnsi="Calibri"/>
          <w:color w:val="auto"/>
          <w:sz w:val="22"/>
          <w:szCs w:val="22"/>
          <w:u w:val="single"/>
        </w:rPr>
        <w:t>the indicator is readily available for 11 countries.</w:t>
      </w:r>
      <w:r w:rsidRPr="00A71C35">
        <w:rPr>
          <w:rFonts w:ascii="Calibri" w:eastAsia="Calibri" w:hAnsi="Calibri"/>
          <w:color w:val="auto"/>
          <w:sz w:val="22"/>
          <w:szCs w:val="22"/>
        </w:rPr>
        <w:t xml:space="preserve">  Additional, but yet unprocessed surveys (e.g., DHS, LSMS, national household income and expenditure surveys etc.) lead to a conservative estimate of an </w:t>
      </w:r>
      <w:r w:rsidRPr="00A71C35">
        <w:rPr>
          <w:rFonts w:ascii="Calibri" w:eastAsia="Calibri" w:hAnsi="Calibri"/>
          <w:color w:val="auto"/>
          <w:sz w:val="22"/>
          <w:szCs w:val="22"/>
        </w:rPr>
        <w:lastRenderedPageBreak/>
        <w:t>additional 15 countries for which the indicator could be derived. It cannot be excluded that many other surveys not currently available to FAO would be potential sources as well, for countries not covered by LSMS or DHS.</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Thanks to a fruitful cooperation with IFPRI, FAO is already disseminating the available data for through the </w:t>
      </w:r>
      <w:hyperlink r:id="rId8" w:history="1">
        <w:r w:rsidRPr="00A71C35">
          <w:rPr>
            <w:rFonts w:ascii="Calibri" w:eastAsia="Calibri" w:hAnsi="Calibri"/>
            <w:color w:val="auto"/>
            <w:sz w:val="22"/>
            <w:szCs w:val="22"/>
            <w:u w:val="single"/>
          </w:rPr>
          <w:t>Gender and Land Rights Database</w:t>
        </w:r>
      </w:hyperlink>
      <w:r w:rsidRPr="00A71C35">
        <w:rPr>
          <w:rFonts w:ascii="Calibri" w:eastAsia="Calibri" w:hAnsi="Calibri"/>
          <w:color w:val="auto"/>
          <w:sz w:val="22"/>
          <w:szCs w:val="22"/>
        </w:rPr>
        <w:t xml:space="preserve"> (GRLD). In the next future, the same data will be also disseminated through the Rural Livelihood Monitoring (RLM) platform. </w:t>
      </w:r>
      <w:r w:rsidRPr="00A71C35">
        <w:rPr>
          <w:rFonts w:ascii="Calibri" w:eastAsia="Calibri" w:hAnsi="Calibri" w:cs="Arial"/>
          <w:color w:val="auto"/>
          <w:sz w:val="22"/>
          <w:szCs w:val="22"/>
        </w:rPr>
        <w:t xml:space="preserve">The new World Programme for Agricultural Census (WCA 2020) has proposed the collection of land ownership data disaggregated by sex as a supplementary item. Furthermore, the FAO Statistics Division is starting a project called AGRIS </w:t>
      </w:r>
      <w:r w:rsidRPr="00A71C35">
        <w:rPr>
          <w:rFonts w:ascii="Calibri" w:eastAsia="Calibri" w:hAnsi="Calibri"/>
          <w:color w:val="auto"/>
          <w:sz w:val="22"/>
          <w:szCs w:val="22"/>
        </w:rPr>
        <w:t>(Agricultural Integrated Surveys) through which methodological guidelines will be provided to countries on how to conduct farm surveys (i.e. key indicators to collect, definitions, methods for data collection, periodicity, etc.), and effort will also be made to support countries in the actual implementation of the farm surveys.</w:t>
      </w:r>
      <w:r w:rsidRPr="00A71C35">
        <w:rPr>
          <w:rFonts w:ascii="Calibri" w:eastAsia="Calibri" w:hAnsi="Calibri" w:cs="Arial"/>
          <w:color w:val="auto"/>
          <w:sz w:val="22"/>
          <w:szCs w:val="22"/>
        </w:rPr>
        <w:t xml:space="preserve"> By doing so, the availability of this indicator will increase substantially in the future.</w:t>
      </w:r>
    </w:p>
    <w:p w:rsidR="00A71C35" w:rsidRPr="00A71C35" w:rsidRDefault="00A71C35" w:rsidP="00A71C35">
      <w:pPr>
        <w:spacing w:after="200" w:line="276" w:lineRule="auto"/>
        <w:ind w:right="-285"/>
        <w:jc w:val="both"/>
        <w:rPr>
          <w:rFonts w:ascii="Calibri" w:eastAsia="Calibri" w:hAnsi="Calibri" w:cs="Arial"/>
          <w:color w:val="auto"/>
          <w:sz w:val="22"/>
          <w:szCs w:val="22"/>
        </w:rPr>
      </w:pPr>
      <w:r w:rsidRPr="00A71C35">
        <w:rPr>
          <w:rFonts w:ascii="Calibri" w:eastAsia="Calibri" w:hAnsi="Calibri"/>
          <w:color w:val="auto"/>
          <w:sz w:val="22"/>
          <w:szCs w:val="22"/>
        </w:rPr>
        <w:t>While comparability across countries (mainly due to differing</w:t>
      </w:r>
      <w:r w:rsidRPr="00A71C35">
        <w:rPr>
          <w:rFonts w:ascii="Calibri" w:eastAsia="Calibri" w:hAnsi="Calibri" w:cs="Arial"/>
          <w:color w:val="auto"/>
          <w:sz w:val="22"/>
          <w:szCs w:val="22"/>
        </w:rPr>
        <w:t xml:space="preserve"> ownership definitions) and low current availability pose a challenge to this indicator, it is still fair to consider the indicator superior to the “share of female agricultural holders” because it captures ownership in a strict sense instead of management and, more importantly, because it provides intra-holding/household information.</w:t>
      </w:r>
    </w:p>
    <w:p w:rsidR="00A71C35" w:rsidRPr="00A71C35" w:rsidRDefault="00A71C35" w:rsidP="00A71C35">
      <w:pPr>
        <w:spacing w:after="200" w:line="276" w:lineRule="auto"/>
        <w:ind w:right="-285"/>
        <w:jc w:val="both"/>
        <w:rPr>
          <w:rFonts w:ascii="Calibri" w:eastAsia="Calibri" w:hAnsi="Calibri" w:cs="Arial"/>
          <w:color w:val="auto"/>
          <w:sz w:val="22"/>
          <w:szCs w:val="22"/>
        </w:rPr>
        <w:sectPr w:rsidR="00A71C35" w:rsidRPr="00A71C35" w:rsidSect="00450373">
          <w:type w:val="continuous"/>
          <w:pgSz w:w="11907" w:h="16840" w:code="9"/>
          <w:pgMar w:top="1560" w:right="1418" w:bottom="1134" w:left="1418" w:header="709" w:footer="709" w:gutter="0"/>
          <w:cols w:space="708"/>
          <w:docGrid w:linePitch="360"/>
        </w:sectPr>
      </w:pPr>
      <w:r w:rsidRPr="00A71C35">
        <w:rPr>
          <w:rFonts w:ascii="Calibri" w:eastAsia="Calibri" w:hAnsi="Calibri" w:cs="Arial"/>
          <w:color w:val="auto"/>
          <w:sz w:val="22"/>
          <w:szCs w:val="22"/>
        </w:rPr>
        <w:t>It also worth mentioning, that the EDGE (Evidence and Data for Gender Equality) initiative</w:t>
      </w:r>
    </w:p>
    <w:p w:rsidR="00A71C35" w:rsidRPr="00A71C35" w:rsidRDefault="00A71C35" w:rsidP="00A71C35">
      <w:pPr>
        <w:spacing w:after="200" w:line="276" w:lineRule="auto"/>
        <w:ind w:right="-285"/>
        <w:jc w:val="both"/>
        <w:rPr>
          <w:rFonts w:ascii="Calibri" w:eastAsia="Calibri" w:hAnsi="Calibri" w:cs="Arial"/>
          <w:color w:val="auto"/>
          <w:sz w:val="22"/>
          <w:szCs w:val="22"/>
        </w:rPr>
      </w:pPr>
      <w:r w:rsidRPr="00A71C35">
        <w:rPr>
          <w:rFonts w:ascii="Calibri" w:eastAsia="Calibri" w:hAnsi="Calibri" w:cs="Arial"/>
          <w:color w:val="auto"/>
          <w:sz w:val="22"/>
          <w:szCs w:val="22"/>
          <w:vertAlign w:val="superscript"/>
        </w:rPr>
        <w:lastRenderedPageBreak/>
        <w:footnoteReference w:id="1"/>
      </w:r>
      <w:r w:rsidRPr="00A71C35">
        <w:rPr>
          <w:rFonts w:ascii="Calibri" w:eastAsia="Calibri" w:hAnsi="Calibri" w:cs="Arial"/>
          <w:color w:val="auto"/>
          <w:sz w:val="22"/>
          <w:szCs w:val="22"/>
        </w:rPr>
        <w:t xml:space="preserve"> </w:t>
      </w:r>
      <w:proofErr w:type="gramStart"/>
      <w:r w:rsidRPr="00A71C35">
        <w:rPr>
          <w:rFonts w:ascii="Calibri" w:eastAsia="Calibri" w:hAnsi="Calibri" w:cs="Arial"/>
          <w:color w:val="auto"/>
          <w:sz w:val="22"/>
          <w:szCs w:val="22"/>
        </w:rPr>
        <w:t>has</w:t>
      </w:r>
      <w:proofErr w:type="gramEnd"/>
      <w:r w:rsidRPr="00A71C35">
        <w:rPr>
          <w:rFonts w:ascii="Calibri" w:eastAsia="Calibri" w:hAnsi="Calibri" w:cs="Arial"/>
          <w:color w:val="auto"/>
          <w:sz w:val="22"/>
          <w:szCs w:val="22"/>
        </w:rPr>
        <w:t xml:space="preserve"> chosen the “proportion of the (adult) population who own land, by sex”, as one of 16 total indicators to be collected across countries as part of the initiative</w:t>
      </w:r>
      <w:r w:rsidRPr="00A71C35">
        <w:rPr>
          <w:rFonts w:ascii="Calibri" w:eastAsia="Calibri" w:hAnsi="Calibri" w:cs="Arial"/>
          <w:color w:val="auto"/>
          <w:sz w:val="22"/>
          <w:szCs w:val="22"/>
          <w:vertAlign w:val="superscript"/>
        </w:rPr>
        <w:footnoteReference w:id="2"/>
      </w:r>
      <w:r w:rsidRPr="00A71C35">
        <w:rPr>
          <w:rFonts w:ascii="Calibri" w:eastAsia="Calibri" w:hAnsi="Calibri" w:cs="Arial"/>
          <w:color w:val="auto"/>
          <w:sz w:val="22"/>
          <w:szCs w:val="22"/>
        </w:rPr>
        <w:t xml:space="preserve">. It also figures as one of the 52 indicators included in the </w:t>
      </w:r>
      <w:r w:rsidRPr="00A71C35">
        <w:rPr>
          <w:rFonts w:ascii="Calibri" w:eastAsia="Calibri" w:hAnsi="Calibri" w:cs="Arial"/>
          <w:i/>
          <w:color w:val="auto"/>
          <w:sz w:val="22"/>
          <w:szCs w:val="22"/>
        </w:rPr>
        <w:t>Minimum Set of Gender Indicators</w:t>
      </w:r>
      <w:r w:rsidRPr="00A71C35">
        <w:rPr>
          <w:rFonts w:ascii="Calibri" w:eastAsia="Calibri" w:hAnsi="Calibri" w:cs="Arial"/>
          <w:color w:val="auto"/>
          <w:sz w:val="22"/>
          <w:szCs w:val="22"/>
        </w:rPr>
        <w:t xml:space="preserve"> approved by the UN Statistical Commission. This further underlines the recognised importance of reporting on land ownership by sex.</w:t>
      </w:r>
    </w:p>
    <w:p w:rsidR="00A71C35" w:rsidRPr="00A71C35" w:rsidRDefault="00A71C35" w:rsidP="00A71C35">
      <w:pPr>
        <w:numPr>
          <w:ilvl w:val="0"/>
          <w:numId w:val="3"/>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color w:val="auto"/>
          <w:sz w:val="22"/>
          <w:szCs w:val="22"/>
        </w:rPr>
        <w:t>Comment on the reliability, potential coverage, comparability across countries, and the possibility to compute the indicator at sub-national level.</w:t>
      </w:r>
    </w:p>
    <w:p w:rsidR="00A71C35" w:rsidRPr="00A71C35" w:rsidRDefault="00A71C35" w:rsidP="00A71C35">
      <w:pPr>
        <w:spacing w:after="200" w:line="276" w:lineRule="auto"/>
        <w:ind w:right="-285"/>
        <w:jc w:val="both"/>
        <w:rPr>
          <w:rFonts w:ascii="Calibri" w:eastAsia="Calibri" w:hAnsi="Calibri"/>
          <w:bCs/>
          <w:i/>
          <w:iCs/>
          <w:color w:val="auto"/>
          <w:sz w:val="22"/>
          <w:szCs w:val="22"/>
          <w:u w:val="single"/>
        </w:rPr>
      </w:pPr>
      <w:r w:rsidRPr="00A71C35">
        <w:rPr>
          <w:rFonts w:ascii="Calibri" w:eastAsia="Calibri" w:hAnsi="Calibri"/>
          <w:color w:val="auto"/>
          <w:sz w:val="22"/>
          <w:szCs w:val="22"/>
          <w:u w:val="single"/>
        </w:rPr>
        <w:t>Reliability</w:t>
      </w:r>
    </w:p>
    <w:p w:rsidR="00A71C35" w:rsidRPr="00A71C35" w:rsidRDefault="00A71C35" w:rsidP="00A71C35">
      <w:pPr>
        <w:spacing w:after="200" w:line="276" w:lineRule="auto"/>
        <w:ind w:right="-285"/>
        <w:jc w:val="both"/>
        <w:rPr>
          <w:rFonts w:ascii="Calibri" w:eastAsia="Calibri" w:hAnsi="Calibri"/>
          <w:b/>
          <w:bCs/>
          <w:i/>
          <w:iCs/>
          <w:color w:val="auto"/>
          <w:sz w:val="22"/>
          <w:szCs w:val="22"/>
        </w:rPr>
      </w:pPr>
      <w:r w:rsidRPr="00A71C35">
        <w:rPr>
          <w:rFonts w:ascii="Calibri" w:eastAsia="Calibri" w:hAnsi="Calibri"/>
          <w:color w:val="auto"/>
          <w:sz w:val="22"/>
          <w:szCs w:val="22"/>
        </w:rPr>
        <w:t>The indicator is expected to be reliable because the identification of the plot owner(s) in household surveys is a feasible task. Household surveys are usually done on a sample basis and are statistically representative at national and subnational level.</w:t>
      </w:r>
    </w:p>
    <w:p w:rsidR="00A71C35" w:rsidRPr="00A71C35" w:rsidRDefault="00A71C35" w:rsidP="00A71C35">
      <w:pPr>
        <w:spacing w:after="20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t xml:space="preserve">Coverage </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The indicator is nationally representative insofar the survey data is nationally representative. The indicator can be collected periodically (about every 2-4 years) which is a reasonable frequency to capture significant changes in land ownership. </w:t>
      </w:r>
    </w:p>
    <w:p w:rsidR="00A71C35" w:rsidRPr="00A71C35" w:rsidRDefault="00A71C35" w:rsidP="00A71C35">
      <w:pPr>
        <w:spacing w:after="200" w:line="276" w:lineRule="auto"/>
        <w:ind w:right="-285"/>
        <w:jc w:val="both"/>
        <w:rPr>
          <w:rFonts w:ascii="Calibri" w:eastAsia="Calibri" w:hAnsi="Calibri"/>
          <w:color w:val="auto"/>
          <w:sz w:val="22"/>
          <w:szCs w:val="22"/>
        </w:rPr>
      </w:pPr>
    </w:p>
    <w:p w:rsidR="00A71C35" w:rsidRPr="00A71C35" w:rsidRDefault="00A71C35" w:rsidP="00A71C35">
      <w:pPr>
        <w:spacing w:after="200" w:line="276" w:lineRule="auto"/>
        <w:ind w:right="-285"/>
        <w:jc w:val="both"/>
        <w:rPr>
          <w:rFonts w:ascii="Calibri" w:eastAsia="Calibri" w:hAnsi="Calibri"/>
          <w:b/>
          <w:bCs/>
          <w:i/>
          <w:iCs/>
          <w:color w:val="auto"/>
          <w:sz w:val="22"/>
          <w:szCs w:val="22"/>
        </w:rPr>
      </w:pPr>
    </w:p>
    <w:p w:rsidR="00A71C35" w:rsidRPr="00A71C35" w:rsidRDefault="00A71C35" w:rsidP="00A71C35">
      <w:pPr>
        <w:spacing w:after="20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t>Comparability across countries</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Different country definitions of ownership can be problematic. Also, the indicator is collected in different years, depending on when surveys are conducted in individual countries. This can negatively affects comparability across countries. </w:t>
      </w:r>
    </w:p>
    <w:p w:rsidR="00A71C35" w:rsidRPr="00A71C35" w:rsidRDefault="00A71C35" w:rsidP="00A71C35">
      <w:pPr>
        <w:spacing w:after="20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t>Sub-national estimates</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 It is possible to disaggregate the indicator by geographic areas if the surveys are representative for these areas. The level of disaggregation depends on the sample design of the surveys.</w:t>
      </w:r>
    </w:p>
    <w:p w:rsidR="00A71C35" w:rsidRPr="00A71C35" w:rsidRDefault="00A71C35" w:rsidP="00A71C35">
      <w:pPr>
        <w:spacing w:after="200" w:line="276" w:lineRule="auto"/>
        <w:ind w:left="720" w:right="-285"/>
        <w:contextualSpacing/>
        <w:rPr>
          <w:rFonts w:ascii="Calibri" w:eastAsia="Calibri" w:hAnsi="Calibri"/>
          <w:color w:val="FF0000"/>
          <w:sz w:val="6"/>
          <w:szCs w:val="22"/>
        </w:rPr>
      </w:pPr>
    </w:p>
    <w:p w:rsidR="00A71C35" w:rsidRPr="00A71C35" w:rsidRDefault="00A71C35" w:rsidP="00A71C35">
      <w:pPr>
        <w:numPr>
          <w:ilvl w:val="0"/>
          <w:numId w:val="3"/>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color w:val="auto"/>
          <w:sz w:val="22"/>
          <w:szCs w:val="22"/>
        </w:rPr>
        <w:t xml:space="preserve">   Is there a baseline value for 2015? </w:t>
      </w:r>
    </w:p>
    <w:p w:rsidR="00A71C35" w:rsidRPr="00A71C35" w:rsidRDefault="00A71C35" w:rsidP="00A71C35">
      <w:pPr>
        <w:spacing w:before="120"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We do not expect this indicator to change rapidly. </w:t>
      </w:r>
    </w:p>
    <w:p w:rsidR="00A71C35" w:rsidRPr="00A71C35" w:rsidRDefault="00A71C35" w:rsidP="00A71C35">
      <w:pPr>
        <w:spacing w:before="120"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It is worth highlighting that the baseline and follow-up values will be different across countries. To ensure correct comparisons linear interpolation between the actual data points will be necessary.</w:t>
      </w:r>
    </w:p>
    <w:p w:rsidR="00A71C35" w:rsidRPr="00A71C35" w:rsidRDefault="00A71C35" w:rsidP="00A71C35">
      <w:pPr>
        <w:pageBreakBefore/>
        <w:shd w:val="clear" w:color="auto" w:fill="99FF99"/>
        <w:spacing w:before="240" w:after="200" w:line="276" w:lineRule="auto"/>
        <w:ind w:right="-285"/>
        <w:jc w:val="center"/>
        <w:outlineLvl w:val="1"/>
        <w:rPr>
          <w:rFonts w:ascii="Calibri" w:eastAsia="SimSun" w:hAnsi="Calibri"/>
          <w:color w:val="auto"/>
          <w:shd w:val="clear" w:color="auto" w:fill="F2F2F2"/>
        </w:rPr>
      </w:pPr>
      <w:r w:rsidRPr="00A71C35">
        <w:rPr>
          <w:rFonts w:ascii="Calibri" w:eastAsia="SimSun" w:hAnsi="Calibri"/>
          <w:b/>
          <w:color w:val="auto"/>
        </w:rPr>
        <w:lastRenderedPageBreak/>
        <w:t xml:space="preserve">Indicator 1.4.1 (Additional) </w:t>
      </w:r>
      <w:bookmarkEnd w:id="0"/>
      <w:bookmarkEnd w:id="1"/>
      <w:r w:rsidRPr="00A71C35">
        <w:rPr>
          <w:rFonts w:ascii="Calibri" w:eastAsia="SimSun" w:hAnsi="Calibri"/>
          <w:b/>
          <w:color w:val="auto"/>
        </w:rPr>
        <w:br/>
        <w:t>“</w:t>
      </w:r>
      <w:r w:rsidRPr="00A71C35">
        <w:rPr>
          <w:rFonts w:ascii="Calibri" w:eastAsia="SimSun" w:hAnsi="Calibri"/>
          <w:color w:val="auto"/>
          <w:shd w:val="clear" w:color="auto" w:fill="99FF99"/>
        </w:rPr>
        <w:t>Proportion of adult women/men agricultural holders, out of total agricultural holders”</w:t>
      </w:r>
    </w:p>
    <w:p w:rsidR="00A71C35" w:rsidRPr="00A71C35" w:rsidRDefault="00A71C35" w:rsidP="00A71C35">
      <w:pPr>
        <w:spacing w:after="200" w:line="276" w:lineRule="auto"/>
        <w:ind w:left="720" w:right="-285"/>
        <w:rPr>
          <w:rFonts w:ascii="Calibri" w:eastAsia="Times New Roman" w:hAnsi="Calibri"/>
          <w:b/>
          <w:bCs/>
          <w:color w:val="auto"/>
          <w:sz w:val="22"/>
          <w:szCs w:val="22"/>
        </w:rPr>
      </w:pPr>
    </w:p>
    <w:p w:rsidR="00A71C35" w:rsidRPr="00A71C35" w:rsidRDefault="00A71C35" w:rsidP="00A71C35">
      <w:pPr>
        <w:numPr>
          <w:ilvl w:val="0"/>
          <w:numId w:val="2"/>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iCs/>
          <w:color w:val="auto"/>
          <w:sz w:val="22"/>
          <w:szCs w:val="22"/>
        </w:rPr>
        <w:t>Precise</w:t>
      </w:r>
      <w:r w:rsidRPr="00A71C35">
        <w:rPr>
          <w:rFonts w:ascii="Calibri" w:eastAsia="Times New Roman" w:hAnsi="Calibri"/>
          <w:b/>
          <w:bCs/>
          <w:color w:val="auto"/>
          <w:sz w:val="22"/>
          <w:szCs w:val="22"/>
        </w:rPr>
        <w:t xml:space="preserve"> definition of the indicator</w:t>
      </w:r>
    </w:p>
    <w:p w:rsidR="00A71C35" w:rsidRPr="00A71C35" w:rsidRDefault="00A71C35" w:rsidP="00A71C35">
      <w:pPr>
        <w:spacing w:after="12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t xml:space="preserve">Definition of the indicator:     </w:t>
      </w:r>
    </w:p>
    <w:p w:rsidR="00A71C35" w:rsidRPr="00A71C35" w:rsidRDefault="00A71C35" w:rsidP="00A71C35">
      <w:pPr>
        <w:pBdr>
          <w:top w:val="single" w:sz="4" w:space="1" w:color="auto"/>
          <w:left w:val="single" w:sz="4" w:space="4" w:color="auto"/>
          <w:bottom w:val="single" w:sz="4" w:space="1" w:color="auto"/>
          <w:right w:val="single" w:sz="4" w:space="4" w:color="auto"/>
        </w:pBdr>
        <w:spacing w:after="120" w:line="276" w:lineRule="auto"/>
        <w:ind w:right="-285"/>
        <w:jc w:val="center"/>
        <w:rPr>
          <w:rFonts w:ascii="Calibri" w:eastAsia="Times New Roman" w:hAnsi="Calibri"/>
          <w:b/>
          <w:color w:val="auto"/>
          <w:sz w:val="20"/>
          <w:szCs w:val="20"/>
        </w:rPr>
      </w:pPr>
      <m:oMathPara>
        <m:oMath>
          <m:d>
            <m:dPr>
              <m:ctrlPr>
                <w:rPr>
                  <w:rFonts w:ascii="Cambria Math" w:eastAsia="Calibri" w:hAnsi="Calibri"/>
                  <w:b/>
                  <w:i/>
                  <w:color w:val="auto"/>
                  <w:sz w:val="20"/>
                  <w:szCs w:val="20"/>
                </w:rPr>
              </m:ctrlPr>
            </m:dPr>
            <m:e>
              <m:f>
                <m:fPr>
                  <m:ctrlPr>
                    <w:rPr>
                      <w:rFonts w:ascii="Cambria Math" w:eastAsia="Calibri" w:hAnsi="Calibri"/>
                      <w:b/>
                      <w:i/>
                      <w:color w:val="auto"/>
                      <w:sz w:val="20"/>
                      <w:szCs w:val="20"/>
                    </w:rPr>
                  </m:ctrlPr>
                </m:fPr>
                <m:num>
                  <m:r>
                    <m:rPr>
                      <m:sty m:val="bi"/>
                    </m:rPr>
                    <w:rPr>
                      <w:rFonts w:ascii="Cambria Math" w:eastAsia="Calibri" w:hAnsi="Cambria Math"/>
                      <w:color w:val="auto"/>
                      <w:sz w:val="20"/>
                      <w:szCs w:val="20"/>
                    </w:rPr>
                    <m:t>Female</m:t>
                  </m:r>
                  <m:r>
                    <m:rPr>
                      <m:sty m:val="bi"/>
                    </m:rPr>
                    <w:rPr>
                      <w:rFonts w:ascii="Cambria Math" w:eastAsia="Calibri" w:hAnsi="Calibri"/>
                      <w:color w:val="auto"/>
                      <w:sz w:val="20"/>
                      <w:szCs w:val="20"/>
                    </w:rPr>
                    <m:t xml:space="preserve"> </m:t>
                  </m:r>
                  <m:r>
                    <m:rPr>
                      <m:sty m:val="bi"/>
                    </m:rPr>
                    <w:rPr>
                      <w:rFonts w:ascii="Cambria Math" w:eastAsia="Calibri" w:hAnsi="Cambria Math"/>
                      <w:color w:val="auto"/>
                      <w:sz w:val="20"/>
                      <w:szCs w:val="20"/>
                    </w:rPr>
                    <m:t>Agricultural</m:t>
                  </m:r>
                  <m:r>
                    <m:rPr>
                      <m:sty m:val="bi"/>
                    </m:rPr>
                    <w:rPr>
                      <w:rFonts w:ascii="Cambria Math" w:eastAsia="Calibri" w:hAnsi="Calibri"/>
                      <w:color w:val="auto"/>
                      <w:sz w:val="20"/>
                      <w:szCs w:val="20"/>
                    </w:rPr>
                    <m:t xml:space="preserve"> </m:t>
                  </m:r>
                  <m:r>
                    <m:rPr>
                      <m:sty m:val="bi"/>
                    </m:rPr>
                    <w:rPr>
                      <w:rFonts w:ascii="Cambria Math" w:eastAsia="Calibri" w:hAnsi="Cambria Math"/>
                      <w:color w:val="auto"/>
                      <w:sz w:val="20"/>
                      <w:szCs w:val="20"/>
                    </w:rPr>
                    <m:t>Holders</m:t>
                  </m:r>
                </m:num>
                <m:den>
                  <m:r>
                    <m:rPr>
                      <m:sty m:val="bi"/>
                    </m:rPr>
                    <w:rPr>
                      <w:rFonts w:ascii="Cambria Math" w:eastAsia="Calibri" w:hAnsi="Cambria Math"/>
                      <w:color w:val="auto"/>
                      <w:sz w:val="20"/>
                      <w:szCs w:val="20"/>
                    </w:rPr>
                    <m:t>Total</m:t>
                  </m:r>
                  <m:r>
                    <m:rPr>
                      <m:sty m:val="bi"/>
                    </m:rPr>
                    <w:rPr>
                      <w:rFonts w:ascii="Cambria Math" w:eastAsia="Calibri" w:hAnsi="Calibri"/>
                      <w:color w:val="auto"/>
                      <w:sz w:val="20"/>
                      <w:szCs w:val="20"/>
                    </w:rPr>
                    <m:t xml:space="preserve"> </m:t>
                  </m:r>
                  <m:r>
                    <m:rPr>
                      <m:sty m:val="bi"/>
                    </m:rPr>
                    <w:rPr>
                      <w:rFonts w:ascii="Cambria Math" w:eastAsia="Calibri" w:hAnsi="Cambria Math"/>
                      <w:color w:val="auto"/>
                      <w:sz w:val="20"/>
                      <w:szCs w:val="20"/>
                    </w:rPr>
                    <m:t>Agricultural</m:t>
                  </m:r>
                  <m:r>
                    <m:rPr>
                      <m:sty m:val="bi"/>
                    </m:rPr>
                    <w:rPr>
                      <w:rFonts w:ascii="Cambria Math" w:eastAsia="Calibri" w:hAnsi="Calibri"/>
                      <w:color w:val="auto"/>
                      <w:sz w:val="20"/>
                      <w:szCs w:val="20"/>
                    </w:rPr>
                    <m:t xml:space="preserve"> </m:t>
                  </m:r>
                  <m:r>
                    <m:rPr>
                      <m:sty m:val="bi"/>
                    </m:rPr>
                    <w:rPr>
                      <w:rFonts w:ascii="Cambria Math" w:eastAsia="Calibri" w:hAnsi="Cambria Math"/>
                      <w:color w:val="auto"/>
                      <w:sz w:val="20"/>
                      <w:szCs w:val="20"/>
                    </w:rPr>
                    <m:t>Holders</m:t>
                  </m:r>
                </m:den>
              </m:f>
            </m:e>
          </m:d>
          <m:r>
            <m:rPr>
              <m:sty m:val="bi"/>
            </m:rPr>
            <w:rPr>
              <w:rFonts w:ascii="Cambria Math" w:eastAsia="Calibri" w:hAnsi="Cambria Math"/>
              <w:color w:val="auto"/>
              <w:sz w:val="20"/>
              <w:szCs w:val="20"/>
            </w:rPr>
            <m:t>∙100</m:t>
          </m:r>
        </m:oMath>
      </m:oMathPara>
    </w:p>
    <w:p w:rsidR="00A71C35" w:rsidRPr="00A71C35" w:rsidRDefault="00A71C35" w:rsidP="00A71C35">
      <w:pPr>
        <w:spacing w:after="12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t>Definition of agricultural holder:</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w:t>
      </w:r>
      <w:r w:rsidRPr="00A71C35">
        <w:rPr>
          <w:rFonts w:ascii="Calibri" w:eastAsia="Calibri" w:hAnsi="Calibri"/>
          <w:i/>
          <w:color w:val="auto"/>
          <w:sz w:val="22"/>
          <w:szCs w:val="22"/>
        </w:rPr>
        <w:t>The agricultural holder is defined as the civil or juridical person who makes the major decisions regarding resource use and exercises management control over the agricultural holding operation. The agricultural holder has technical and economic responsibility for the holding and may undertake all responsibilities directly, or delegate responsibilities related to day-to-day work management to a hired manager</w:t>
      </w:r>
      <w:r w:rsidRPr="00A71C35">
        <w:rPr>
          <w:rFonts w:ascii="Calibri" w:eastAsia="Calibri" w:hAnsi="Calibri"/>
          <w:color w:val="auto"/>
          <w:sz w:val="22"/>
          <w:szCs w:val="22"/>
        </w:rPr>
        <w:t>” (FAO, 2005)</w:t>
      </w:r>
      <w:r w:rsidRPr="00A71C35">
        <w:rPr>
          <w:rFonts w:ascii="Calibri" w:eastAsia="Calibri" w:hAnsi="Calibri"/>
          <w:color w:val="auto"/>
          <w:sz w:val="22"/>
          <w:szCs w:val="22"/>
          <w:vertAlign w:val="superscript"/>
        </w:rPr>
        <w:footnoteReference w:id="3"/>
      </w:r>
      <w:r w:rsidRPr="00A71C35">
        <w:rPr>
          <w:rFonts w:ascii="Calibri" w:eastAsia="Calibri" w:hAnsi="Calibri"/>
          <w:color w:val="auto"/>
          <w:sz w:val="22"/>
          <w:szCs w:val="22"/>
        </w:rPr>
        <w:t>.</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The indicator illustrates the management of agricultural holdings by gender. While it does not inform about resource ownership, it shows </w:t>
      </w:r>
      <w:r w:rsidRPr="00A71C35">
        <w:rPr>
          <w:rFonts w:ascii="Calibri" w:eastAsia="Calibri" w:hAnsi="Calibri"/>
          <w:color w:val="auto"/>
          <w:sz w:val="22"/>
          <w:szCs w:val="22"/>
          <w:u w:val="single"/>
        </w:rPr>
        <w:t>to what extent women have the management responsibility of agricultural production resources</w:t>
      </w:r>
      <w:r w:rsidRPr="00A71C35">
        <w:rPr>
          <w:rFonts w:ascii="Calibri" w:eastAsia="Calibri" w:hAnsi="Calibri"/>
          <w:color w:val="auto"/>
          <w:sz w:val="22"/>
          <w:szCs w:val="22"/>
        </w:rPr>
        <w:t>.  As such, it is an important indicator of women’s influence in agricultural production.</w:t>
      </w:r>
    </w:p>
    <w:p w:rsidR="00A71C35" w:rsidRPr="00A71C35" w:rsidRDefault="00A71C35" w:rsidP="00A71C35">
      <w:pPr>
        <w:spacing w:after="120" w:line="276" w:lineRule="auto"/>
        <w:ind w:right="-285"/>
        <w:jc w:val="both"/>
        <w:rPr>
          <w:rFonts w:ascii="Calibri" w:eastAsia="Calibri" w:hAnsi="Calibri"/>
          <w:color w:val="auto"/>
          <w:sz w:val="4"/>
          <w:szCs w:val="22"/>
        </w:rPr>
      </w:pPr>
    </w:p>
    <w:p w:rsidR="00A71C35" w:rsidRPr="00A71C35" w:rsidRDefault="00A71C35" w:rsidP="00A71C35">
      <w:pPr>
        <w:numPr>
          <w:ilvl w:val="0"/>
          <w:numId w:val="2"/>
        </w:numPr>
        <w:suppressAutoHyphens/>
        <w:spacing w:after="200" w:line="276" w:lineRule="auto"/>
        <w:ind w:right="-285"/>
        <w:rPr>
          <w:rFonts w:ascii="Calibri" w:eastAsia="Times New Roman" w:hAnsi="Calibri"/>
          <w:b/>
          <w:bCs/>
          <w:color w:val="auto"/>
          <w:sz w:val="22"/>
          <w:szCs w:val="22"/>
        </w:rPr>
      </w:pPr>
      <w:r w:rsidRPr="00A71C35">
        <w:rPr>
          <w:rFonts w:ascii="Calibri" w:eastAsia="Calibri" w:hAnsi="Calibri"/>
          <w:color w:val="auto"/>
          <w:sz w:val="22"/>
          <w:szCs w:val="22"/>
        </w:rPr>
        <w:t xml:space="preserve"> </w:t>
      </w:r>
      <w:r w:rsidRPr="00A71C35">
        <w:rPr>
          <w:rFonts w:ascii="Calibri" w:eastAsia="Times New Roman" w:hAnsi="Calibri"/>
          <w:b/>
          <w:bCs/>
          <w:color w:val="auto"/>
          <w:sz w:val="22"/>
          <w:szCs w:val="22"/>
        </w:rPr>
        <w:t>How is the indicator linked to the specific TARGET as worded in the OWG Report?</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The indicator is related to Goal 1, target 1.4 (“</w:t>
      </w:r>
      <w:r w:rsidRPr="00A71C35">
        <w:rPr>
          <w:rFonts w:ascii="Calibri" w:eastAsia="Calibri" w:hAnsi="Calibri"/>
          <w:i/>
          <w:color w:val="auto"/>
          <w:sz w:val="22"/>
          <w:szCs w:val="22"/>
        </w:rPr>
        <w:t>By 2030, ensure that all men and women, in particular the poor and the vulnerable, have equal rights to economic resources, as well as access to basic services, ownership and control over land and other forms of property, inheritance, natural resources, appropriate new technology and financial services, including microfinance</w:t>
      </w:r>
      <w:r w:rsidRPr="00A71C35">
        <w:rPr>
          <w:rFonts w:ascii="Calibri" w:eastAsia="Calibri" w:hAnsi="Calibri"/>
          <w:color w:val="auto"/>
          <w:sz w:val="22"/>
          <w:szCs w:val="22"/>
        </w:rPr>
        <w:t xml:space="preserve">”). </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More specifically, the proposed indicator monitors “</w:t>
      </w:r>
      <w:r w:rsidRPr="00A71C35">
        <w:rPr>
          <w:rFonts w:ascii="Calibri" w:eastAsia="Calibri" w:hAnsi="Calibri"/>
          <w:b/>
          <w:i/>
          <w:color w:val="auto"/>
          <w:sz w:val="22"/>
          <w:szCs w:val="22"/>
        </w:rPr>
        <w:t>control over land and other forms of property.</w:t>
      </w:r>
      <w:r w:rsidRPr="00A71C35">
        <w:rPr>
          <w:rFonts w:ascii="Calibri" w:eastAsia="Calibri" w:hAnsi="Calibri"/>
          <w:color w:val="auto"/>
          <w:sz w:val="22"/>
          <w:szCs w:val="22"/>
        </w:rPr>
        <w:t>” Since the holder is in charge of managing the agricultural holding, s/he controls and makes decisions about the holding, including the holding’s land and other resources within it. Hence, the proposed indicator is a very direct measure of control over land or other forms of property.</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An increase in the percentage of female agricultural holders out of total agricultural holders indicates that more women take the role of agricultural managers and hence have enhanced control over agricultural resources.</w:t>
      </w:r>
    </w:p>
    <w:p w:rsidR="00A71C35" w:rsidRPr="00A71C35" w:rsidRDefault="00A71C35" w:rsidP="00A71C35">
      <w:pPr>
        <w:numPr>
          <w:ilvl w:val="0"/>
          <w:numId w:val="2"/>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color w:val="auto"/>
          <w:sz w:val="22"/>
          <w:szCs w:val="22"/>
        </w:rPr>
        <w:t>Does the indicator already exist and is it regularly reported?</w:t>
      </w:r>
    </w:p>
    <w:p w:rsidR="00A71C35" w:rsidRPr="00A71C35" w:rsidRDefault="00A71C35" w:rsidP="00A71C35">
      <w:pPr>
        <w:spacing w:after="12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u w:val="single"/>
        </w:rPr>
        <w:t>The indicator already exists</w:t>
      </w:r>
      <w:r w:rsidRPr="00A71C35">
        <w:rPr>
          <w:rFonts w:ascii="Calibri" w:eastAsia="Calibri" w:hAnsi="Calibri"/>
          <w:color w:val="auto"/>
          <w:sz w:val="22"/>
          <w:szCs w:val="22"/>
        </w:rPr>
        <w:t xml:space="preserve">. National Statistical Offices (and/or Ministries of Agriculture) conducting an Agricultural Census (AC) maintain this indicator by collecting the data item needed to generate it (i.e. the sex of the agricultural holder). Indeed, the sex of the agricultural holder is a core item that has been recurrently suggested under the FAO World Census of Agriculture (WCA) Programme. At the time of writing, the indicator </w:t>
      </w:r>
      <w:r w:rsidRPr="00A71C35">
        <w:rPr>
          <w:rFonts w:ascii="Calibri" w:eastAsia="Calibri" w:hAnsi="Calibri"/>
          <w:color w:val="auto"/>
          <w:sz w:val="22"/>
          <w:szCs w:val="22"/>
          <w:u w:val="single"/>
        </w:rPr>
        <w:t>is reported in the AC reports for 97 countries</w:t>
      </w:r>
      <w:r w:rsidRPr="00A71C35">
        <w:rPr>
          <w:rFonts w:ascii="Calibri" w:eastAsia="Calibri" w:hAnsi="Calibri"/>
          <w:color w:val="auto"/>
          <w:sz w:val="22"/>
          <w:szCs w:val="22"/>
        </w:rPr>
        <w:t>, in the WCA 2000 or 2010 rounds.</w:t>
      </w:r>
    </w:p>
    <w:p w:rsidR="00A71C35" w:rsidRPr="00A71C35" w:rsidRDefault="00A71C35" w:rsidP="00A71C35">
      <w:pPr>
        <w:spacing w:after="120" w:line="276" w:lineRule="auto"/>
        <w:ind w:right="-285"/>
        <w:jc w:val="both"/>
        <w:rPr>
          <w:rFonts w:ascii="Calibri" w:eastAsia="Calibri" w:hAnsi="Calibri" w:cs="Arial"/>
          <w:color w:val="auto"/>
          <w:sz w:val="22"/>
          <w:szCs w:val="22"/>
          <w:u w:val="single"/>
        </w:rPr>
      </w:pPr>
      <w:r w:rsidRPr="00A71C35">
        <w:rPr>
          <w:rFonts w:ascii="Calibri" w:eastAsia="Calibri" w:hAnsi="Calibri"/>
          <w:color w:val="auto"/>
          <w:sz w:val="22"/>
          <w:szCs w:val="22"/>
        </w:rPr>
        <w:lastRenderedPageBreak/>
        <w:t xml:space="preserve">At the end of each WCA Programme round, the </w:t>
      </w:r>
      <w:r w:rsidRPr="00A71C35">
        <w:rPr>
          <w:rFonts w:ascii="Calibri" w:eastAsia="Calibri" w:hAnsi="Calibri"/>
          <w:b/>
          <w:color w:val="auto"/>
          <w:sz w:val="22"/>
          <w:szCs w:val="22"/>
        </w:rPr>
        <w:t>FAO Statistics Division</w:t>
      </w:r>
      <w:r w:rsidRPr="00A71C35">
        <w:rPr>
          <w:rFonts w:ascii="Calibri" w:eastAsia="Calibri" w:hAnsi="Calibri"/>
          <w:color w:val="auto"/>
          <w:sz w:val="22"/>
          <w:szCs w:val="22"/>
        </w:rPr>
        <w:t xml:space="preserve"> extracts this indicator from the National AC Reports and compile it into a cross-country comparison table (see: </w:t>
      </w:r>
      <w:hyperlink r:id="rId9" w:history="1">
        <w:r w:rsidRPr="00A71C35">
          <w:rPr>
            <w:rFonts w:ascii="Calibri" w:eastAsia="Calibri" w:hAnsi="Calibri"/>
            <w:color w:val="auto"/>
            <w:sz w:val="22"/>
            <w:szCs w:val="22"/>
            <w:u w:val="single"/>
          </w:rPr>
          <w:t>http://www.fao.org/economic/ess/ess-wca/wca-2000/ess-wca2000-tables/en/</w:t>
        </w:r>
      </w:hyperlink>
      <w:r w:rsidRPr="00A71C35">
        <w:rPr>
          <w:rFonts w:ascii="Calibri" w:eastAsia="Calibri" w:hAnsi="Calibri"/>
          <w:color w:val="auto"/>
          <w:sz w:val="22"/>
          <w:szCs w:val="22"/>
        </w:rPr>
        <w:t xml:space="preserve"> table 2.1). In addition, the </w:t>
      </w:r>
      <w:hyperlink r:id="rId10" w:history="1">
        <w:r w:rsidRPr="00A71C35">
          <w:rPr>
            <w:rFonts w:ascii="Calibri" w:eastAsia="Calibri" w:hAnsi="Calibri" w:cs="Arial"/>
            <w:color w:val="auto"/>
            <w:sz w:val="22"/>
            <w:szCs w:val="22"/>
            <w:u w:val="single"/>
          </w:rPr>
          <w:t>FAO’s Gender and Land Rights Database</w:t>
        </w:r>
      </w:hyperlink>
      <w:r w:rsidRPr="00A71C35">
        <w:rPr>
          <w:rFonts w:ascii="Calibri" w:eastAsia="Calibri" w:hAnsi="Calibri" w:cs="Arial"/>
          <w:color w:val="auto"/>
          <w:sz w:val="22"/>
          <w:szCs w:val="22"/>
          <w:u w:val="single"/>
        </w:rPr>
        <w:t xml:space="preserve"> (GLRD)</w:t>
      </w:r>
      <w:r w:rsidRPr="00A71C35">
        <w:rPr>
          <w:rFonts w:ascii="Calibri" w:eastAsia="Calibri" w:hAnsi="Calibri" w:cs="Arial"/>
          <w:color w:val="auto"/>
          <w:sz w:val="22"/>
          <w:szCs w:val="22"/>
          <w:u w:val="single"/>
          <w:vertAlign w:val="superscript"/>
        </w:rPr>
        <w:footnoteReference w:id="4"/>
      </w:r>
      <w:r w:rsidRPr="00A71C35">
        <w:rPr>
          <w:rFonts w:ascii="Calibri" w:eastAsia="Calibri" w:hAnsi="Calibri" w:cs="Arial"/>
          <w:color w:val="auto"/>
          <w:sz w:val="22"/>
          <w:szCs w:val="22"/>
          <w:u w:val="single"/>
        </w:rPr>
        <w:t xml:space="preserve"> team also complements this work by analysing the National AC Reports and disseminating the information on the GRLD webpage.</w:t>
      </w:r>
      <w:r w:rsidRPr="00A71C35">
        <w:rPr>
          <w:rFonts w:ascii="Calibri" w:eastAsia="Calibri" w:hAnsi="Calibri"/>
          <w:color w:val="auto"/>
          <w:sz w:val="22"/>
          <w:szCs w:val="22"/>
        </w:rPr>
        <w:t xml:space="preserve"> </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Until now, the majority of countries have only one data point (15 countries have two), and the reference year also varies across countries. National ACs </w:t>
      </w:r>
      <w:proofErr w:type="gramStart"/>
      <w:r w:rsidRPr="00A71C35">
        <w:rPr>
          <w:rFonts w:ascii="Calibri" w:eastAsia="Calibri" w:hAnsi="Calibri"/>
          <w:color w:val="auto"/>
          <w:sz w:val="22"/>
          <w:szCs w:val="22"/>
        </w:rPr>
        <w:t>are</w:t>
      </w:r>
      <w:proofErr w:type="gramEnd"/>
      <w:r w:rsidRPr="00A71C35">
        <w:rPr>
          <w:rFonts w:ascii="Calibri" w:eastAsia="Calibri" w:hAnsi="Calibri"/>
          <w:color w:val="auto"/>
          <w:sz w:val="22"/>
          <w:szCs w:val="22"/>
        </w:rPr>
        <w:t xml:space="preserve"> conducted approximately every 10 years, which means that the proposed indicator has the relatively low collection frequency.</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However, the FAO Statistics Division has recently started the  AGRIS project (Agricultural and Rural Integrated Surveys) through which methodological guidelines will be provided to countries on how to conduct farm surveys (i.e. key indicators to collect, definitions, methods for data collection, periodicity, etc.), and effort will also be made to support countries in the actual implementation of the farm surveys. The implementation of this project will increase the availability of proposed and other similar indicators by enhancing the frequency of data collection.</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A few additional considerations on the indicator:</w:t>
      </w:r>
    </w:p>
    <w:p w:rsidR="00A71C35" w:rsidRPr="00A71C35" w:rsidRDefault="00A71C35" w:rsidP="00A71C35">
      <w:pPr>
        <w:numPr>
          <w:ilvl w:val="0"/>
          <w:numId w:val="4"/>
        </w:numPr>
        <w:suppressAutoHyphens/>
        <w:spacing w:after="120" w:line="276" w:lineRule="auto"/>
        <w:ind w:right="-285"/>
        <w:contextualSpacing/>
        <w:jc w:val="both"/>
        <w:rPr>
          <w:rFonts w:ascii="Calibri" w:eastAsia="Calibri" w:hAnsi="Calibri" w:cs="Arial"/>
          <w:color w:val="auto"/>
          <w:sz w:val="22"/>
          <w:szCs w:val="22"/>
        </w:rPr>
      </w:pPr>
      <w:r w:rsidRPr="00A71C35">
        <w:rPr>
          <w:rFonts w:ascii="Calibri" w:eastAsia="Calibri" w:hAnsi="Calibri" w:cs="Arial"/>
          <w:color w:val="auto"/>
          <w:sz w:val="22"/>
          <w:szCs w:val="22"/>
        </w:rPr>
        <w:t xml:space="preserve">The indicator is the </w:t>
      </w:r>
      <w:r w:rsidRPr="00A71C35">
        <w:rPr>
          <w:rFonts w:ascii="Calibri" w:eastAsia="Calibri" w:hAnsi="Calibri" w:cs="Arial"/>
          <w:color w:val="auto"/>
          <w:sz w:val="22"/>
          <w:szCs w:val="22"/>
          <w:u w:val="single"/>
        </w:rPr>
        <w:t>most available</w:t>
      </w:r>
      <w:r w:rsidRPr="00A71C35">
        <w:rPr>
          <w:rFonts w:ascii="Calibri" w:eastAsia="Calibri" w:hAnsi="Calibri" w:cs="Arial"/>
          <w:color w:val="auto"/>
          <w:sz w:val="22"/>
          <w:szCs w:val="22"/>
        </w:rPr>
        <w:t xml:space="preserve"> amongst the gender and land indicators, with an already existing set-up for continued collection.</w:t>
      </w:r>
    </w:p>
    <w:p w:rsidR="00A71C35" w:rsidRPr="00A71C35" w:rsidRDefault="00A71C35" w:rsidP="00A71C35">
      <w:pPr>
        <w:numPr>
          <w:ilvl w:val="0"/>
          <w:numId w:val="4"/>
        </w:numPr>
        <w:suppressAutoHyphens/>
        <w:spacing w:after="120" w:line="276" w:lineRule="auto"/>
        <w:ind w:right="-285"/>
        <w:contextualSpacing/>
        <w:jc w:val="both"/>
        <w:rPr>
          <w:rFonts w:ascii="Calibri" w:eastAsia="Calibri" w:hAnsi="Calibri" w:cs="Arial"/>
          <w:color w:val="auto"/>
          <w:sz w:val="22"/>
          <w:szCs w:val="22"/>
        </w:rPr>
      </w:pPr>
      <w:r w:rsidRPr="00A71C35">
        <w:rPr>
          <w:rFonts w:ascii="Calibri" w:eastAsia="Calibri" w:hAnsi="Calibri" w:cs="Arial"/>
          <w:color w:val="auto"/>
          <w:sz w:val="22"/>
          <w:szCs w:val="22"/>
        </w:rPr>
        <w:t xml:space="preserve">As an indicator of management, the indicator is silent with regards to the </w:t>
      </w:r>
      <w:r w:rsidRPr="00A71C35">
        <w:rPr>
          <w:rFonts w:ascii="Calibri" w:eastAsia="Calibri" w:hAnsi="Calibri" w:cs="Arial"/>
          <w:color w:val="auto"/>
          <w:sz w:val="22"/>
          <w:szCs w:val="22"/>
          <w:u w:val="single"/>
        </w:rPr>
        <w:t>ownership status of the holding,</w:t>
      </w:r>
      <w:r w:rsidRPr="00A71C35">
        <w:rPr>
          <w:rFonts w:ascii="Calibri" w:eastAsia="Calibri" w:hAnsi="Calibri" w:cs="Arial"/>
          <w:color w:val="auto"/>
          <w:sz w:val="22"/>
          <w:szCs w:val="22"/>
        </w:rPr>
        <w:t xml:space="preserve"> as well as the </w:t>
      </w:r>
      <w:r w:rsidRPr="00A71C35">
        <w:rPr>
          <w:rFonts w:ascii="Calibri" w:eastAsia="Calibri" w:hAnsi="Calibri" w:cs="Arial"/>
          <w:color w:val="auto"/>
          <w:sz w:val="22"/>
          <w:szCs w:val="22"/>
          <w:u w:val="single"/>
        </w:rPr>
        <w:t>relative size or value</w:t>
      </w:r>
      <w:r w:rsidRPr="00A71C35">
        <w:rPr>
          <w:rFonts w:ascii="Calibri" w:eastAsia="Calibri" w:hAnsi="Calibri" w:cs="Arial"/>
          <w:color w:val="auto"/>
          <w:sz w:val="22"/>
          <w:szCs w:val="22"/>
        </w:rPr>
        <w:t xml:space="preserve"> of holdings managed by women. To capture this, a second, complementary indicator on ownership is also proposed for Target 1.4 (see: “percentage of female landowners out of total land owners”, also available in the GRLD).</w:t>
      </w:r>
    </w:p>
    <w:p w:rsidR="00A71C35" w:rsidRPr="00A71C35" w:rsidRDefault="00A71C35" w:rsidP="00A71C35">
      <w:pPr>
        <w:numPr>
          <w:ilvl w:val="0"/>
          <w:numId w:val="4"/>
        </w:numPr>
        <w:suppressAutoHyphens/>
        <w:spacing w:after="200" w:line="276" w:lineRule="auto"/>
        <w:ind w:right="-285"/>
        <w:jc w:val="both"/>
        <w:rPr>
          <w:rFonts w:ascii="Calibri" w:eastAsia="Calibri" w:hAnsi="Calibri" w:cs="Arial"/>
          <w:color w:val="auto"/>
          <w:sz w:val="22"/>
          <w:szCs w:val="22"/>
        </w:rPr>
      </w:pPr>
      <w:r w:rsidRPr="00A71C35">
        <w:rPr>
          <w:rFonts w:ascii="Calibri" w:eastAsia="Calibri" w:hAnsi="Calibri" w:cs="Arial"/>
          <w:color w:val="auto"/>
          <w:sz w:val="22"/>
          <w:szCs w:val="22"/>
        </w:rPr>
        <w:t xml:space="preserve">The indicator is measured at the holding level, and hence does not capture management of land or other properties </w:t>
      </w:r>
      <w:r w:rsidRPr="00A71C35">
        <w:rPr>
          <w:rFonts w:ascii="Calibri" w:eastAsia="Calibri" w:hAnsi="Calibri" w:cs="Arial"/>
          <w:color w:val="auto"/>
          <w:sz w:val="22"/>
          <w:szCs w:val="22"/>
          <w:u w:val="single"/>
        </w:rPr>
        <w:t>within</w:t>
      </w:r>
      <w:r w:rsidRPr="00A71C35">
        <w:rPr>
          <w:rFonts w:ascii="Calibri" w:eastAsia="Calibri" w:hAnsi="Calibri" w:cs="Arial"/>
          <w:color w:val="auto"/>
          <w:sz w:val="22"/>
          <w:szCs w:val="22"/>
        </w:rPr>
        <w:t xml:space="preserve"> the holding. </w:t>
      </w:r>
      <w:r w:rsidRPr="00A71C35">
        <w:rPr>
          <w:rFonts w:ascii="Calibri" w:eastAsia="Calibri" w:hAnsi="Calibri"/>
          <w:color w:val="auto"/>
          <w:sz w:val="22"/>
          <w:szCs w:val="22"/>
        </w:rPr>
        <w:t xml:space="preserve">As such, it tends to underestimate the management role that individuals in the household other than the household head may have. An example is that of married women, who often hold some responsibility for the family farm; however, the husband is typically regarded the household head and by default considered the sole agricultural holder of the household. This leaves married women’s shares of management responsibility underreported in this indicator. </w:t>
      </w:r>
      <w:r w:rsidRPr="00A71C35">
        <w:rPr>
          <w:rFonts w:ascii="Calibri" w:eastAsia="Calibri" w:hAnsi="Calibri" w:cs="Arial"/>
          <w:color w:val="auto"/>
          <w:sz w:val="22"/>
          <w:szCs w:val="22"/>
        </w:rPr>
        <w:t>However, the new World Programme for the Census of Agriculture (WCA 2020) Guidelines will propose countries to collect data on land ownership within the holding as well, leading to increased availability of intra-holding data.</w:t>
      </w:r>
    </w:p>
    <w:p w:rsidR="00A71C35" w:rsidRPr="00A71C35" w:rsidRDefault="00A71C35" w:rsidP="00A71C35">
      <w:pPr>
        <w:numPr>
          <w:ilvl w:val="0"/>
          <w:numId w:val="2"/>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color w:val="auto"/>
          <w:sz w:val="22"/>
          <w:szCs w:val="22"/>
        </w:rPr>
        <w:t>Comment on the reliability, potential coverage, comparability across countries, and the possibility to compute the indicator at sub-national level.</w:t>
      </w:r>
    </w:p>
    <w:p w:rsidR="00A71C35" w:rsidRPr="00A71C35" w:rsidRDefault="00A71C35" w:rsidP="00A71C35">
      <w:pPr>
        <w:spacing w:after="200" w:line="276" w:lineRule="auto"/>
        <w:ind w:right="-285"/>
        <w:jc w:val="both"/>
        <w:rPr>
          <w:rFonts w:ascii="Calibri" w:eastAsia="Calibri" w:hAnsi="Calibri"/>
          <w:bCs/>
          <w:i/>
          <w:iCs/>
          <w:color w:val="auto"/>
          <w:sz w:val="22"/>
          <w:szCs w:val="22"/>
          <w:u w:val="single"/>
        </w:rPr>
      </w:pPr>
      <w:r w:rsidRPr="00A71C35">
        <w:rPr>
          <w:rFonts w:ascii="Calibri" w:eastAsia="Calibri" w:hAnsi="Calibri"/>
          <w:color w:val="auto"/>
          <w:sz w:val="22"/>
          <w:szCs w:val="22"/>
          <w:u w:val="single"/>
        </w:rPr>
        <w:t>Reliability</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The indicator is expected to be reliable because the identification of the holding’s manager and sex are fairly straightforward data items to collect. Although ACs are supposed to reach all agricultural holdings in the country, in some countries ACs are done on sample basis. If the samples are statistical representative, it is possible to calculate statistical margin of errors. </w:t>
      </w:r>
    </w:p>
    <w:p w:rsidR="00A71C35" w:rsidRPr="00A71C35" w:rsidRDefault="00A71C35" w:rsidP="00A71C35">
      <w:pPr>
        <w:spacing w:after="20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lastRenderedPageBreak/>
        <w:t>Coverage</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The indicator is nationally representative insofar the AC is nationally representative (see above). The indicator will be collected periodically (about every 10 years). While this collection frequency is relatively low, initiatives such as AGRIS (see above) could lead to more frequent collection. Furthermore, yearly collection of indicator is considered redundant, as it is unreasonable to expect the percentage of female agricultural holders to change significantly on annual basis.</w:t>
      </w:r>
    </w:p>
    <w:p w:rsidR="00A71C35" w:rsidRPr="00A71C35" w:rsidRDefault="00A71C35" w:rsidP="00A71C35">
      <w:pPr>
        <w:spacing w:after="200" w:line="276" w:lineRule="auto"/>
        <w:ind w:right="-285"/>
        <w:jc w:val="both"/>
        <w:rPr>
          <w:rFonts w:ascii="Calibri" w:eastAsia="Calibri" w:hAnsi="Calibri"/>
          <w:bCs/>
          <w:i/>
          <w:iCs/>
          <w:color w:val="auto"/>
          <w:sz w:val="22"/>
          <w:szCs w:val="22"/>
          <w:u w:val="single"/>
        </w:rPr>
      </w:pPr>
      <w:r w:rsidRPr="00A71C35">
        <w:rPr>
          <w:rFonts w:ascii="Calibri" w:eastAsia="Calibri" w:hAnsi="Calibri"/>
          <w:color w:val="auto"/>
          <w:sz w:val="22"/>
          <w:szCs w:val="22"/>
          <w:u w:val="single"/>
        </w:rPr>
        <w:t>Comparability across countries</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Since ACs </w:t>
      </w:r>
      <w:proofErr w:type="gramStart"/>
      <w:r w:rsidRPr="00A71C35">
        <w:rPr>
          <w:rFonts w:ascii="Calibri" w:eastAsia="Calibri" w:hAnsi="Calibri"/>
          <w:color w:val="auto"/>
          <w:sz w:val="22"/>
          <w:szCs w:val="22"/>
        </w:rPr>
        <w:t>rely</w:t>
      </w:r>
      <w:proofErr w:type="gramEnd"/>
      <w:r w:rsidRPr="00A71C35">
        <w:rPr>
          <w:rFonts w:ascii="Calibri" w:eastAsia="Calibri" w:hAnsi="Calibri"/>
          <w:color w:val="auto"/>
          <w:sz w:val="22"/>
          <w:szCs w:val="22"/>
        </w:rPr>
        <w:t xml:space="preserve"> on the same set of definitions and methodologies, conceptual comparability is high across countries. Yet, the indicator is collected in different points in time (depending on when the AC is conducted). This can potentially affect comparability negatively across countries.</w:t>
      </w:r>
    </w:p>
    <w:p w:rsidR="00A71C35" w:rsidRPr="00A71C35" w:rsidRDefault="00A71C35" w:rsidP="00A71C35">
      <w:pPr>
        <w:spacing w:after="200" w:line="276" w:lineRule="auto"/>
        <w:ind w:right="-285"/>
        <w:jc w:val="both"/>
        <w:rPr>
          <w:rFonts w:ascii="Calibri" w:eastAsia="Calibri" w:hAnsi="Calibri"/>
          <w:color w:val="auto"/>
          <w:sz w:val="22"/>
          <w:szCs w:val="22"/>
          <w:u w:val="single"/>
        </w:rPr>
      </w:pPr>
      <w:r w:rsidRPr="00A71C35">
        <w:rPr>
          <w:rFonts w:ascii="Calibri" w:eastAsia="Calibri" w:hAnsi="Calibri"/>
          <w:color w:val="auto"/>
          <w:sz w:val="22"/>
          <w:szCs w:val="22"/>
          <w:u w:val="single"/>
        </w:rPr>
        <w:t>Sub-national estimates</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In theory it is possible to disaggregate the indicator by geographic areas; however, most of the time this indicator is simply reported at national level in the National AC reports. </w:t>
      </w:r>
    </w:p>
    <w:p w:rsidR="00A71C35" w:rsidRPr="00A71C35" w:rsidRDefault="00A71C35" w:rsidP="00A71C35">
      <w:pPr>
        <w:spacing w:after="200" w:line="276" w:lineRule="auto"/>
        <w:ind w:left="720" w:right="-285"/>
        <w:contextualSpacing/>
        <w:rPr>
          <w:rFonts w:ascii="Calibri" w:eastAsia="Calibri" w:hAnsi="Calibri"/>
          <w:color w:val="FF0000"/>
          <w:sz w:val="6"/>
          <w:szCs w:val="22"/>
        </w:rPr>
      </w:pPr>
    </w:p>
    <w:p w:rsidR="00A71C35" w:rsidRPr="00A71C35" w:rsidRDefault="00A71C35" w:rsidP="00A71C35">
      <w:pPr>
        <w:numPr>
          <w:ilvl w:val="0"/>
          <w:numId w:val="2"/>
        </w:numPr>
        <w:suppressAutoHyphens/>
        <w:spacing w:after="200" w:line="276" w:lineRule="auto"/>
        <w:ind w:right="-285"/>
        <w:rPr>
          <w:rFonts w:ascii="Calibri" w:eastAsia="Times New Roman" w:hAnsi="Calibri"/>
          <w:b/>
          <w:bCs/>
          <w:color w:val="auto"/>
          <w:sz w:val="22"/>
          <w:szCs w:val="22"/>
        </w:rPr>
      </w:pPr>
      <w:r w:rsidRPr="00A71C35">
        <w:rPr>
          <w:rFonts w:ascii="Calibri" w:eastAsia="Times New Roman" w:hAnsi="Calibri"/>
          <w:b/>
          <w:bCs/>
          <w:color w:val="auto"/>
          <w:sz w:val="22"/>
          <w:szCs w:val="22"/>
        </w:rPr>
        <w:t xml:space="preserve">   Is there already a baseline value for 2015? </w:t>
      </w:r>
    </w:p>
    <w:p w:rsidR="00A71C35" w:rsidRPr="00A71C35" w:rsidRDefault="00A71C35" w:rsidP="00A71C35">
      <w:pPr>
        <w:spacing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A </w:t>
      </w:r>
      <w:r w:rsidRPr="00A71C35">
        <w:rPr>
          <w:rFonts w:ascii="Calibri" w:eastAsia="Calibri" w:hAnsi="Calibri"/>
          <w:i/>
          <w:color w:val="auto"/>
          <w:sz w:val="22"/>
          <w:szCs w:val="22"/>
        </w:rPr>
        <w:t>meaningful</w:t>
      </w:r>
      <w:r w:rsidRPr="00A71C35">
        <w:rPr>
          <w:rFonts w:ascii="Calibri" w:eastAsia="Calibri" w:hAnsi="Calibri"/>
          <w:color w:val="auto"/>
          <w:sz w:val="22"/>
          <w:szCs w:val="22"/>
        </w:rPr>
        <w:t xml:space="preserve"> and </w:t>
      </w:r>
      <w:r w:rsidRPr="00A71C35">
        <w:rPr>
          <w:rFonts w:ascii="Calibri" w:eastAsia="Calibri" w:hAnsi="Calibri"/>
          <w:i/>
          <w:iCs/>
          <w:color w:val="auto"/>
          <w:sz w:val="22"/>
          <w:szCs w:val="22"/>
        </w:rPr>
        <w:t>credible</w:t>
      </w:r>
      <w:r w:rsidRPr="00A71C35">
        <w:rPr>
          <w:rFonts w:ascii="Calibri" w:eastAsia="Calibri" w:hAnsi="Calibri"/>
          <w:color w:val="auto"/>
          <w:sz w:val="22"/>
          <w:szCs w:val="22"/>
        </w:rPr>
        <w:t xml:space="preserve"> target would be a </w:t>
      </w:r>
      <w:r w:rsidRPr="00A71C35">
        <w:rPr>
          <w:rFonts w:ascii="Calibri" w:eastAsia="Calibri" w:hAnsi="Calibri"/>
          <w:color w:val="auto"/>
          <w:sz w:val="22"/>
          <w:szCs w:val="22"/>
          <w:u w:val="single"/>
        </w:rPr>
        <w:t>relative one rather than an absolute one</w:t>
      </w:r>
      <w:r w:rsidRPr="00A71C35">
        <w:rPr>
          <w:rFonts w:ascii="Calibri" w:eastAsia="Calibri" w:hAnsi="Calibri"/>
          <w:color w:val="auto"/>
          <w:sz w:val="22"/>
          <w:szCs w:val="22"/>
        </w:rPr>
        <w:t xml:space="preserve">. Indeed, the percentage of female agricultural holders varies considerably across the regions (see the table below, based on the most recent ACs). If we exclude Europe and North America (composed mainly by developed countries) the percentage of female agricultural holders varies from 4.3 percent the Near East to 18.9 percent in South America. </w:t>
      </w:r>
    </w:p>
    <w:tbl>
      <w:tblPr>
        <w:tblW w:w="7848" w:type="dxa"/>
        <w:jc w:val="center"/>
        <w:tblInd w:w="41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150"/>
        <w:gridCol w:w="3099"/>
        <w:gridCol w:w="2599"/>
      </w:tblGrid>
      <w:tr w:rsidR="00A71C35" w:rsidRPr="00A71C35" w:rsidTr="00CB74FD">
        <w:trPr>
          <w:trHeight w:val="974"/>
          <w:jc w:val="center"/>
        </w:trPr>
        <w:tc>
          <w:tcPr>
            <w:tcW w:w="2150" w:type="dxa"/>
            <w:shd w:val="clear" w:color="auto" w:fill="002060"/>
            <w:vAlign w:val="center"/>
            <w:hideMark/>
          </w:tcPr>
          <w:p w:rsidR="00A71C35" w:rsidRPr="00A71C35" w:rsidRDefault="00A71C35" w:rsidP="00A71C35">
            <w:pPr>
              <w:ind w:right="-285"/>
              <w:jc w:val="center"/>
              <w:rPr>
                <w:rFonts w:ascii="Calibri" w:eastAsia="Times New Roman" w:hAnsi="Calibri" w:cs="Arial"/>
                <w:b/>
                <w:bCs/>
                <w:color w:val="auto"/>
                <w:sz w:val="22"/>
                <w:szCs w:val="22"/>
                <w:lang w:eastAsia="it-IT"/>
              </w:rPr>
            </w:pPr>
            <w:r w:rsidRPr="00A71C35">
              <w:rPr>
                <w:rFonts w:ascii="Calibri" w:eastAsia="Times New Roman" w:hAnsi="Calibri" w:cs="Arial"/>
                <w:b/>
                <w:bCs/>
                <w:color w:val="auto"/>
                <w:sz w:val="22"/>
                <w:szCs w:val="22"/>
                <w:lang w:eastAsia="it-IT"/>
              </w:rPr>
              <w:t>REGIONS</w:t>
            </w:r>
          </w:p>
        </w:tc>
        <w:tc>
          <w:tcPr>
            <w:tcW w:w="3099" w:type="dxa"/>
            <w:shd w:val="clear" w:color="auto" w:fill="002060"/>
            <w:vAlign w:val="center"/>
            <w:hideMark/>
          </w:tcPr>
          <w:p w:rsidR="00A71C35" w:rsidRPr="00A71C35" w:rsidRDefault="00A71C35" w:rsidP="00A71C35">
            <w:pPr>
              <w:ind w:right="-285"/>
              <w:jc w:val="center"/>
              <w:rPr>
                <w:rFonts w:ascii="Calibri" w:eastAsia="Times New Roman" w:hAnsi="Calibri" w:cs="Arial"/>
                <w:b/>
                <w:bCs/>
                <w:color w:val="auto"/>
                <w:sz w:val="22"/>
                <w:szCs w:val="22"/>
                <w:lang w:eastAsia="it-IT"/>
              </w:rPr>
            </w:pPr>
            <w:r w:rsidRPr="00A71C35">
              <w:rPr>
                <w:rFonts w:ascii="Calibri" w:eastAsia="Times New Roman" w:hAnsi="Calibri" w:cs="Arial"/>
                <w:b/>
                <w:bCs/>
                <w:color w:val="auto"/>
                <w:sz w:val="22"/>
                <w:szCs w:val="22"/>
                <w:lang w:eastAsia="it-IT"/>
              </w:rPr>
              <w:t>Percentage of female agricultural holders (out of total holders)</w:t>
            </w:r>
          </w:p>
        </w:tc>
        <w:tc>
          <w:tcPr>
            <w:tcW w:w="2599" w:type="dxa"/>
            <w:shd w:val="clear" w:color="auto" w:fill="002060"/>
            <w:vAlign w:val="center"/>
            <w:hideMark/>
          </w:tcPr>
          <w:p w:rsidR="00A71C35" w:rsidRPr="00A71C35" w:rsidRDefault="00A71C35" w:rsidP="00A71C35">
            <w:pPr>
              <w:ind w:right="-285"/>
              <w:jc w:val="center"/>
              <w:rPr>
                <w:rFonts w:ascii="Calibri" w:eastAsia="Times New Roman" w:hAnsi="Calibri" w:cs="Arial"/>
                <w:b/>
                <w:bCs/>
                <w:color w:val="auto"/>
                <w:sz w:val="22"/>
                <w:szCs w:val="22"/>
                <w:lang w:eastAsia="it-IT"/>
              </w:rPr>
            </w:pPr>
            <w:r w:rsidRPr="00A71C35">
              <w:rPr>
                <w:rFonts w:ascii="Calibri" w:eastAsia="Times New Roman" w:hAnsi="Calibri" w:cs="Arial"/>
                <w:b/>
                <w:bCs/>
                <w:color w:val="auto"/>
                <w:sz w:val="22"/>
                <w:szCs w:val="22"/>
                <w:lang w:eastAsia="it-IT"/>
              </w:rPr>
              <w:t>Number of countries</w:t>
            </w:r>
          </w:p>
        </w:tc>
      </w:tr>
      <w:tr w:rsidR="00A71C35" w:rsidRPr="00A71C35" w:rsidTr="00CB74FD">
        <w:trPr>
          <w:trHeight w:val="280"/>
          <w:jc w:val="center"/>
        </w:trPr>
        <w:tc>
          <w:tcPr>
            <w:tcW w:w="2150" w:type="dxa"/>
            <w:shd w:val="clear" w:color="auto" w:fill="auto"/>
            <w:noWrap/>
            <w:vAlign w:val="bottom"/>
            <w:hideMark/>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AFRICA</w:t>
            </w:r>
          </w:p>
        </w:tc>
        <w:tc>
          <w:tcPr>
            <w:tcW w:w="3099" w:type="dxa"/>
            <w:shd w:val="clear" w:color="auto" w:fill="auto"/>
            <w:noWrap/>
            <w:vAlign w:val="bottom"/>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19,3</w:t>
            </w:r>
          </w:p>
        </w:tc>
        <w:tc>
          <w:tcPr>
            <w:tcW w:w="2599" w:type="dxa"/>
            <w:shd w:val="clear" w:color="auto" w:fill="auto"/>
            <w:noWrap/>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19</w:t>
            </w:r>
          </w:p>
        </w:tc>
      </w:tr>
      <w:tr w:rsidR="00A71C35" w:rsidRPr="00A71C35" w:rsidTr="00CB74FD">
        <w:trPr>
          <w:trHeight w:val="280"/>
          <w:jc w:val="center"/>
        </w:trPr>
        <w:tc>
          <w:tcPr>
            <w:tcW w:w="2150" w:type="dxa"/>
            <w:shd w:val="clear" w:color="auto" w:fill="auto"/>
            <w:noWrap/>
            <w:vAlign w:val="bottom"/>
            <w:hideMark/>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AMERICA, NORTH</w:t>
            </w:r>
          </w:p>
        </w:tc>
        <w:tc>
          <w:tcPr>
            <w:tcW w:w="3099" w:type="dxa"/>
            <w:shd w:val="clear" w:color="auto" w:fill="auto"/>
            <w:vAlign w:val="bottom"/>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20,5</w:t>
            </w:r>
          </w:p>
        </w:tc>
        <w:tc>
          <w:tcPr>
            <w:tcW w:w="2599" w:type="dxa"/>
            <w:shd w:val="clear" w:color="auto" w:fill="auto"/>
            <w:noWrap/>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2</w:t>
            </w:r>
          </w:p>
        </w:tc>
      </w:tr>
      <w:tr w:rsidR="00A71C35" w:rsidRPr="00A71C35" w:rsidTr="00CB74FD">
        <w:trPr>
          <w:trHeight w:val="280"/>
          <w:jc w:val="center"/>
        </w:trPr>
        <w:tc>
          <w:tcPr>
            <w:tcW w:w="2150" w:type="dxa"/>
            <w:shd w:val="clear" w:color="auto" w:fill="auto"/>
            <w:noWrap/>
            <w:vAlign w:val="bottom"/>
            <w:hideMark/>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AMERICA, CENTRAL AND SOUTH</w:t>
            </w:r>
          </w:p>
        </w:tc>
        <w:tc>
          <w:tcPr>
            <w:tcW w:w="3099" w:type="dxa"/>
            <w:shd w:val="clear" w:color="auto" w:fill="auto"/>
            <w:vAlign w:val="bottom"/>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18,9</w:t>
            </w:r>
          </w:p>
        </w:tc>
        <w:tc>
          <w:tcPr>
            <w:tcW w:w="2599" w:type="dxa"/>
            <w:shd w:val="clear" w:color="auto" w:fill="auto"/>
            <w:noWrap/>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17</w:t>
            </w:r>
          </w:p>
        </w:tc>
      </w:tr>
      <w:tr w:rsidR="00A71C35" w:rsidRPr="00A71C35" w:rsidTr="00CB74FD">
        <w:trPr>
          <w:trHeight w:val="280"/>
          <w:jc w:val="center"/>
        </w:trPr>
        <w:tc>
          <w:tcPr>
            <w:tcW w:w="2150" w:type="dxa"/>
            <w:shd w:val="clear" w:color="auto" w:fill="auto"/>
            <w:noWrap/>
            <w:vAlign w:val="bottom"/>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NEAR EAST</w:t>
            </w:r>
          </w:p>
        </w:tc>
        <w:tc>
          <w:tcPr>
            <w:tcW w:w="3099" w:type="dxa"/>
            <w:shd w:val="clear" w:color="auto" w:fill="auto"/>
            <w:vAlign w:val="bottom"/>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4,3</w:t>
            </w:r>
          </w:p>
        </w:tc>
        <w:tc>
          <w:tcPr>
            <w:tcW w:w="2599" w:type="dxa"/>
            <w:shd w:val="clear" w:color="auto" w:fill="auto"/>
            <w:noWrap/>
            <w:vAlign w:val="bottom"/>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8</w:t>
            </w:r>
          </w:p>
        </w:tc>
      </w:tr>
      <w:tr w:rsidR="00A71C35" w:rsidRPr="00A71C35" w:rsidTr="00CB74FD">
        <w:trPr>
          <w:trHeight w:val="280"/>
          <w:jc w:val="center"/>
        </w:trPr>
        <w:tc>
          <w:tcPr>
            <w:tcW w:w="2150" w:type="dxa"/>
            <w:shd w:val="clear" w:color="auto" w:fill="auto"/>
            <w:noWrap/>
            <w:vAlign w:val="bottom"/>
            <w:hideMark/>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ASIA</w:t>
            </w:r>
          </w:p>
        </w:tc>
        <w:tc>
          <w:tcPr>
            <w:tcW w:w="3099" w:type="dxa"/>
            <w:shd w:val="clear" w:color="auto" w:fill="auto"/>
            <w:vAlign w:val="bottom"/>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14,5</w:t>
            </w:r>
          </w:p>
        </w:tc>
        <w:tc>
          <w:tcPr>
            <w:tcW w:w="2599" w:type="dxa"/>
            <w:shd w:val="clear" w:color="auto" w:fill="auto"/>
            <w:noWrap/>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15</w:t>
            </w:r>
          </w:p>
        </w:tc>
      </w:tr>
      <w:tr w:rsidR="00A71C35" w:rsidRPr="00A71C35" w:rsidTr="00CB74FD">
        <w:trPr>
          <w:trHeight w:val="280"/>
          <w:jc w:val="center"/>
        </w:trPr>
        <w:tc>
          <w:tcPr>
            <w:tcW w:w="2150" w:type="dxa"/>
            <w:shd w:val="clear" w:color="auto" w:fill="auto"/>
            <w:vAlign w:val="bottom"/>
            <w:hideMark/>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EUROPE</w:t>
            </w:r>
          </w:p>
        </w:tc>
        <w:tc>
          <w:tcPr>
            <w:tcW w:w="3099" w:type="dxa"/>
            <w:shd w:val="clear" w:color="auto" w:fill="auto"/>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23,7</w:t>
            </w:r>
          </w:p>
        </w:tc>
        <w:tc>
          <w:tcPr>
            <w:tcW w:w="2599" w:type="dxa"/>
            <w:shd w:val="clear" w:color="auto" w:fill="auto"/>
            <w:noWrap/>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29</w:t>
            </w:r>
          </w:p>
        </w:tc>
      </w:tr>
      <w:tr w:rsidR="00A71C35" w:rsidRPr="00A71C35" w:rsidTr="00CB74FD">
        <w:trPr>
          <w:trHeight w:val="280"/>
          <w:jc w:val="center"/>
        </w:trPr>
        <w:tc>
          <w:tcPr>
            <w:tcW w:w="2150" w:type="dxa"/>
            <w:shd w:val="clear" w:color="auto" w:fill="auto"/>
            <w:vAlign w:val="bottom"/>
            <w:hideMark/>
          </w:tcPr>
          <w:p w:rsidR="00A71C35" w:rsidRPr="00A71C35" w:rsidRDefault="00A71C35" w:rsidP="00A71C35">
            <w:pPr>
              <w:ind w:right="-285"/>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OCEANIA</w:t>
            </w:r>
          </w:p>
        </w:tc>
        <w:tc>
          <w:tcPr>
            <w:tcW w:w="3099" w:type="dxa"/>
            <w:shd w:val="clear" w:color="auto" w:fill="auto"/>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15,7</w:t>
            </w:r>
          </w:p>
        </w:tc>
        <w:tc>
          <w:tcPr>
            <w:tcW w:w="2599" w:type="dxa"/>
            <w:shd w:val="clear" w:color="auto" w:fill="auto"/>
            <w:noWrap/>
            <w:vAlign w:val="bottom"/>
            <w:hideMark/>
          </w:tcPr>
          <w:p w:rsidR="00A71C35" w:rsidRPr="00A71C35" w:rsidRDefault="00A71C35" w:rsidP="00A71C35">
            <w:pPr>
              <w:ind w:right="-285"/>
              <w:jc w:val="center"/>
              <w:rPr>
                <w:rFonts w:ascii="Calibri" w:eastAsia="Times New Roman" w:hAnsi="Calibri" w:cs="Arial"/>
                <w:color w:val="auto"/>
                <w:sz w:val="18"/>
                <w:szCs w:val="18"/>
                <w:lang w:eastAsia="it-IT"/>
              </w:rPr>
            </w:pPr>
            <w:r w:rsidRPr="00A71C35">
              <w:rPr>
                <w:rFonts w:ascii="Calibri" w:eastAsia="Times New Roman" w:hAnsi="Calibri" w:cs="Arial"/>
                <w:color w:val="auto"/>
                <w:sz w:val="18"/>
                <w:szCs w:val="18"/>
                <w:lang w:eastAsia="it-IT"/>
              </w:rPr>
              <w:t>6</w:t>
            </w:r>
          </w:p>
        </w:tc>
      </w:tr>
    </w:tbl>
    <w:p w:rsidR="00A71C35" w:rsidRPr="00A71C35" w:rsidRDefault="00A71C35" w:rsidP="00A71C35">
      <w:pPr>
        <w:spacing w:line="276" w:lineRule="auto"/>
        <w:ind w:left="851" w:right="-285"/>
        <w:rPr>
          <w:rFonts w:ascii="Calibri" w:eastAsia="Calibri" w:hAnsi="Calibri"/>
          <w:color w:val="auto"/>
          <w:sz w:val="18"/>
          <w:szCs w:val="18"/>
        </w:rPr>
      </w:pPr>
      <w:r w:rsidRPr="00A71C35">
        <w:rPr>
          <w:rFonts w:ascii="Calibri" w:eastAsia="Calibri" w:hAnsi="Calibri"/>
          <w:color w:val="auto"/>
          <w:sz w:val="18"/>
          <w:szCs w:val="18"/>
        </w:rPr>
        <w:t xml:space="preserve">Source: –Agricultural Censuses conducted during the WCA 2000 round, integrated with some ACs </w:t>
      </w:r>
    </w:p>
    <w:p w:rsidR="00A71C35" w:rsidRPr="00A71C35" w:rsidRDefault="00A71C35" w:rsidP="00A71C35">
      <w:pPr>
        <w:spacing w:line="276" w:lineRule="auto"/>
        <w:ind w:left="851" w:right="-285"/>
        <w:rPr>
          <w:rFonts w:ascii="Calibri" w:eastAsia="Calibri" w:hAnsi="Calibri"/>
          <w:color w:val="auto"/>
          <w:sz w:val="18"/>
          <w:szCs w:val="18"/>
        </w:rPr>
      </w:pPr>
      <w:proofErr w:type="gramStart"/>
      <w:r w:rsidRPr="00A71C35">
        <w:rPr>
          <w:rFonts w:ascii="Calibri" w:eastAsia="Calibri" w:hAnsi="Calibri"/>
          <w:color w:val="auto"/>
          <w:sz w:val="18"/>
          <w:szCs w:val="18"/>
        </w:rPr>
        <w:t>conducted</w:t>
      </w:r>
      <w:proofErr w:type="gramEnd"/>
      <w:r w:rsidRPr="00A71C35">
        <w:rPr>
          <w:rFonts w:ascii="Calibri" w:eastAsia="Calibri" w:hAnsi="Calibri"/>
          <w:color w:val="auto"/>
          <w:sz w:val="18"/>
          <w:szCs w:val="18"/>
        </w:rPr>
        <w:t xml:space="preserve"> in WCA 2015 whose data are already available.</w:t>
      </w:r>
    </w:p>
    <w:p w:rsidR="00A71C35" w:rsidRPr="00A71C35" w:rsidRDefault="00A71C35" w:rsidP="00A71C35">
      <w:pPr>
        <w:spacing w:before="120" w:after="200" w:line="276" w:lineRule="auto"/>
        <w:ind w:right="-285"/>
        <w:jc w:val="both"/>
        <w:rPr>
          <w:rFonts w:ascii="Calibri" w:eastAsia="Calibri" w:hAnsi="Calibri"/>
          <w:color w:val="auto"/>
          <w:sz w:val="6"/>
          <w:szCs w:val="22"/>
        </w:rPr>
      </w:pPr>
    </w:p>
    <w:p w:rsidR="0035634B" w:rsidRPr="00A71C35" w:rsidRDefault="00A71C35" w:rsidP="00A71C35">
      <w:pPr>
        <w:spacing w:before="120" w:after="200" w:line="276" w:lineRule="auto"/>
        <w:ind w:right="-285"/>
        <w:jc w:val="both"/>
        <w:rPr>
          <w:rFonts w:ascii="Calibri" w:eastAsia="Calibri" w:hAnsi="Calibri"/>
          <w:color w:val="auto"/>
          <w:sz w:val="22"/>
          <w:szCs w:val="22"/>
        </w:rPr>
      </w:pPr>
      <w:r w:rsidRPr="00A71C35">
        <w:rPr>
          <w:rFonts w:ascii="Calibri" w:eastAsia="Calibri" w:hAnsi="Calibri"/>
          <w:color w:val="auto"/>
          <w:sz w:val="22"/>
          <w:szCs w:val="22"/>
        </w:rPr>
        <w:t xml:space="preserve">We do not expect this indicator to change rapidly. It is worth highlighting that the baseline and follow-up values will be different across countries. To ensure correct comparisons linear interpolation between the actual data points will be necessary.  </w:t>
      </w:r>
      <w:bookmarkStart w:id="2" w:name="_GoBack"/>
      <w:bookmarkEnd w:id="2"/>
    </w:p>
    <w:sectPr w:rsidR="0035634B" w:rsidRPr="00A71C35">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770C" w:rsidRDefault="0095770C" w:rsidP="00A71C35">
      <w:r>
        <w:separator/>
      </w:r>
    </w:p>
  </w:endnote>
  <w:endnote w:type="continuationSeparator" w:id="0">
    <w:p w:rsidR="0095770C" w:rsidRDefault="0095770C" w:rsidP="00A71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770C" w:rsidRDefault="0095770C" w:rsidP="00A71C35">
      <w:r>
        <w:separator/>
      </w:r>
    </w:p>
  </w:footnote>
  <w:footnote w:type="continuationSeparator" w:id="0">
    <w:p w:rsidR="0095770C" w:rsidRDefault="0095770C" w:rsidP="00A71C35">
      <w:r>
        <w:continuationSeparator/>
      </w:r>
    </w:p>
  </w:footnote>
  <w:footnote w:id="1">
    <w:p w:rsidR="00A71C35" w:rsidRPr="00CA1B60" w:rsidRDefault="00A71C35" w:rsidP="00A71C35">
      <w:pPr>
        <w:pStyle w:val="FootnoteText"/>
        <w:jc w:val="both"/>
        <w:rPr>
          <w:rFonts w:asciiTheme="majorHAnsi" w:hAnsiTheme="majorHAnsi"/>
          <w:sz w:val="18"/>
          <w:szCs w:val="18"/>
          <w:lang w:val="en-US"/>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A</w:t>
      </w:r>
      <w:r w:rsidRPr="00CA1B60">
        <w:rPr>
          <w:rFonts w:asciiTheme="majorHAnsi" w:hAnsiTheme="majorHAnsi" w:cs="Arial"/>
          <w:sz w:val="18"/>
          <w:szCs w:val="18"/>
        </w:rPr>
        <w:t xml:space="preserve"> joint UNWOMEN and UNSD project with the aim of accelerating existing efforts to generate comparable gender indicators on health, education, employment, entrepreneurship and asset ownership. </w:t>
      </w:r>
    </w:p>
  </w:footnote>
  <w:footnote w:id="2">
    <w:p w:rsidR="00A71C35" w:rsidRPr="00CA1B60" w:rsidRDefault="00A71C35" w:rsidP="00A71C35">
      <w:pPr>
        <w:rPr>
          <w:rFonts w:asciiTheme="majorHAnsi" w:hAnsiTheme="majorHAnsi"/>
          <w:color w:val="1F497D"/>
          <w:sz w:val="18"/>
          <w:szCs w:val="18"/>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hyperlink r:id="rId1" w:history="1">
        <w:r w:rsidRPr="0014132C">
          <w:rPr>
            <w:rStyle w:val="Hyperlink1"/>
            <w:rFonts w:asciiTheme="majorHAnsi" w:hAnsiTheme="majorHAnsi"/>
            <w:color w:val="auto"/>
            <w:sz w:val="18"/>
            <w:szCs w:val="18"/>
          </w:rPr>
          <w:t>http://genderstats.org/EDGE</w:t>
        </w:r>
      </w:hyperlink>
      <w:r w:rsidRPr="0014132C">
        <w:rPr>
          <w:rFonts w:asciiTheme="majorHAnsi" w:hAnsiTheme="majorHAnsi"/>
          <w:color w:val="auto"/>
          <w:sz w:val="18"/>
          <w:szCs w:val="18"/>
        </w:rPr>
        <w:t>.</w:t>
      </w:r>
    </w:p>
  </w:footnote>
  <w:footnote w:id="3">
    <w:p w:rsidR="00A71C35" w:rsidRPr="00CA1B60" w:rsidRDefault="00A71C35" w:rsidP="00A71C35">
      <w:pPr>
        <w:pStyle w:val="FootnoteText"/>
        <w:jc w:val="both"/>
        <w:rPr>
          <w:rFonts w:asciiTheme="majorHAnsi" w:hAnsiTheme="majorHAnsi"/>
          <w:sz w:val="18"/>
          <w:szCs w:val="18"/>
          <w:lang w:val="en-US"/>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Source: FAO, 2005, </w:t>
      </w:r>
      <w:proofErr w:type="gramStart"/>
      <w:r w:rsidRPr="00CA1B60">
        <w:rPr>
          <w:rFonts w:asciiTheme="majorHAnsi" w:hAnsiTheme="majorHAnsi"/>
          <w:bCs/>
          <w:sz w:val="18"/>
          <w:szCs w:val="18"/>
          <w:shd w:val="clear" w:color="auto" w:fill="FFFFFF"/>
        </w:rPr>
        <w:t>A</w:t>
      </w:r>
      <w:proofErr w:type="gramEnd"/>
      <w:r w:rsidRPr="00CA1B60">
        <w:rPr>
          <w:rFonts w:asciiTheme="majorHAnsi" w:hAnsiTheme="majorHAnsi"/>
          <w:bCs/>
          <w:sz w:val="18"/>
          <w:szCs w:val="18"/>
          <w:shd w:val="clear" w:color="auto" w:fill="FFFFFF"/>
        </w:rPr>
        <w:t xml:space="preserve"> system of integrated agricultural censuses and surveys - </w:t>
      </w:r>
      <w:r w:rsidRPr="00CA1B60">
        <w:rPr>
          <w:rFonts w:asciiTheme="majorHAnsi" w:hAnsiTheme="majorHAnsi" w:cs="Arial"/>
          <w:bCs/>
          <w:sz w:val="18"/>
          <w:szCs w:val="18"/>
          <w:shd w:val="clear" w:color="auto" w:fill="FFFFFF"/>
        </w:rPr>
        <w:t>World Programme for the Census of Agriculture 2010 (</w:t>
      </w:r>
      <w:hyperlink r:id="rId2" w:history="1">
        <w:r w:rsidRPr="0014132C">
          <w:rPr>
            <w:rStyle w:val="Hyperlink1"/>
            <w:rFonts w:asciiTheme="majorHAnsi" w:hAnsiTheme="majorHAnsi"/>
            <w:color w:val="auto"/>
            <w:sz w:val="18"/>
            <w:szCs w:val="18"/>
          </w:rPr>
          <w:t>http://www.fao.org/docrep/009/a0135e/A0135E00.htm</w:t>
        </w:r>
      </w:hyperlink>
      <w:r w:rsidRPr="0014132C">
        <w:rPr>
          <w:rFonts w:asciiTheme="majorHAnsi" w:hAnsiTheme="majorHAnsi"/>
          <w:color w:val="auto"/>
          <w:sz w:val="18"/>
          <w:szCs w:val="18"/>
        </w:rPr>
        <w:t>).</w:t>
      </w:r>
    </w:p>
  </w:footnote>
  <w:footnote w:id="4">
    <w:p w:rsidR="00A71C35" w:rsidRPr="0014132C" w:rsidRDefault="00A71C35" w:rsidP="00A71C35">
      <w:pPr>
        <w:pStyle w:val="FootnoteText"/>
        <w:jc w:val="both"/>
        <w:rPr>
          <w:rFonts w:asciiTheme="majorHAnsi" w:hAnsiTheme="majorHAnsi"/>
          <w:color w:val="auto"/>
          <w:sz w:val="18"/>
          <w:szCs w:val="18"/>
          <w:lang w:val="en-US"/>
        </w:rPr>
      </w:pPr>
      <w:r w:rsidRPr="00CA1B60">
        <w:rPr>
          <w:rStyle w:val="FootnoteReference"/>
          <w:rFonts w:asciiTheme="majorHAnsi" w:hAnsiTheme="majorHAnsi"/>
          <w:sz w:val="18"/>
          <w:szCs w:val="18"/>
        </w:rPr>
        <w:footnoteRef/>
      </w:r>
      <w:r w:rsidRPr="00CA1B60">
        <w:rPr>
          <w:rFonts w:asciiTheme="majorHAnsi" w:hAnsiTheme="majorHAnsi"/>
          <w:sz w:val="18"/>
          <w:szCs w:val="18"/>
        </w:rPr>
        <w:t xml:space="preserve"> </w:t>
      </w:r>
      <w:r w:rsidRPr="00CA1B60">
        <w:rPr>
          <w:rFonts w:asciiTheme="majorHAnsi" w:hAnsiTheme="majorHAnsi"/>
          <w:sz w:val="18"/>
          <w:szCs w:val="18"/>
          <w:lang w:val="en-US"/>
        </w:rPr>
        <w:t xml:space="preserve">Please note that the link to the metadata is under construction as the GRLD is being revamped and re-launched in February 2015. This is an internal link to the new website where the metadata is </w:t>
      </w:r>
      <w:r w:rsidRPr="0014132C">
        <w:rPr>
          <w:rFonts w:asciiTheme="majorHAnsi" w:hAnsiTheme="majorHAnsi"/>
          <w:color w:val="auto"/>
          <w:sz w:val="18"/>
          <w:szCs w:val="18"/>
          <w:lang w:val="en-US"/>
        </w:rPr>
        <w:t xml:space="preserve">available: </w:t>
      </w:r>
      <w:hyperlink r:id="rId3" w:history="1">
        <w:r w:rsidRPr="0014132C">
          <w:rPr>
            <w:rStyle w:val="Hyperlink1"/>
            <w:rFonts w:asciiTheme="majorHAnsi" w:hAnsiTheme="majorHAnsi"/>
            <w:color w:val="auto"/>
            <w:sz w:val="18"/>
            <w:szCs w:val="18"/>
            <w:lang w:val="en-US"/>
          </w:rPr>
          <w:t>http://www-test.fao.org/glrd/data-map/statistics/en/</w:t>
        </w:r>
      </w:hyperlink>
      <w:r w:rsidRPr="0014132C">
        <w:rPr>
          <w:rStyle w:val="Hyperlink1"/>
          <w:rFonts w:asciiTheme="majorHAnsi" w:hAnsiTheme="majorHAnsi"/>
          <w:color w:val="auto"/>
          <w:sz w:val="18"/>
          <w:szCs w:val="18"/>
          <w:lang w:val="en-US"/>
        </w:rPr>
        <w:t>.</w:t>
      </w:r>
      <w:r w:rsidRPr="0014132C">
        <w:rPr>
          <w:rFonts w:asciiTheme="majorHAnsi" w:hAnsiTheme="majorHAnsi"/>
          <w:color w:val="auto"/>
          <w:sz w:val="18"/>
          <w:szCs w:val="18"/>
          <w:lang w:val="en-US"/>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AD7274"/>
    <w:multiLevelType w:val="hybridMultilevel"/>
    <w:tmpl w:val="58E49D88"/>
    <w:lvl w:ilvl="0" w:tplc="08090005">
      <w:start w:val="1"/>
      <w:numFmt w:val="bullet"/>
      <w:lvlText w:val=""/>
      <w:lvlJc w:val="left"/>
      <w:pPr>
        <w:ind w:left="717" w:hanging="360"/>
      </w:pPr>
      <w:rPr>
        <w:rFonts w:ascii="Wingdings" w:hAnsi="Wingdings" w:hint="default"/>
        <w:color w:val="auto"/>
      </w:rPr>
    </w:lvl>
    <w:lvl w:ilvl="1" w:tplc="04090019">
      <w:start w:val="1"/>
      <w:numFmt w:val="lowerLetter"/>
      <w:lvlText w:val="%2."/>
      <w:lvlJc w:val="left"/>
      <w:pPr>
        <w:ind w:left="1437" w:hanging="360"/>
      </w:pPr>
    </w:lvl>
    <w:lvl w:ilvl="2" w:tplc="7CF4FD00">
      <w:start w:val="1"/>
      <w:numFmt w:val="lowerLetter"/>
      <w:lvlText w:val="%3)"/>
      <w:lvlJc w:val="left"/>
      <w:pPr>
        <w:ind w:left="2337" w:hanging="360"/>
      </w:pPr>
      <w:rPr>
        <w:rFonts w:hint="default"/>
        <w:b/>
        <w:i/>
      </w:r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
    <w:nsid w:val="4F262BD2"/>
    <w:multiLevelType w:val="hybridMultilevel"/>
    <w:tmpl w:val="C19C0810"/>
    <w:lvl w:ilvl="0" w:tplc="B096E15E">
      <w:start w:val="1"/>
      <w:numFmt w:val="decimal"/>
      <w:pStyle w:val="Heading31"/>
      <w:lvlText w:val="%1."/>
      <w:lvlJc w:val="left"/>
      <w:pPr>
        <w:ind w:left="720" w:hanging="360"/>
      </w:p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557E1319"/>
    <w:multiLevelType w:val="hybridMultilevel"/>
    <w:tmpl w:val="9A46D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C35"/>
    <w:rsid w:val="0035634B"/>
    <w:rsid w:val="00374D74"/>
    <w:rsid w:val="0095770C"/>
    <w:rsid w:val="00A71C35"/>
    <w:rsid w:val="00AC1AA0"/>
    <w:rsid w:val="00F72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noteText">
    <w:name w:val="footnote text"/>
    <w:basedOn w:val="Normal"/>
    <w:link w:val="FootnoteTextChar"/>
    <w:uiPriority w:val="99"/>
    <w:semiHidden/>
    <w:unhideWhenUsed/>
    <w:rsid w:val="00A71C35"/>
    <w:rPr>
      <w:sz w:val="20"/>
      <w:szCs w:val="20"/>
    </w:rPr>
  </w:style>
  <w:style w:type="character" w:customStyle="1" w:styleId="FootnoteTextChar">
    <w:name w:val="Footnote Text Char"/>
    <w:basedOn w:val="DefaultParagraphFont"/>
    <w:link w:val="FootnoteText"/>
    <w:uiPriority w:val="99"/>
    <w:semiHidden/>
    <w:rsid w:val="00A71C35"/>
    <w:rPr>
      <w:sz w:val="20"/>
      <w:szCs w:val="20"/>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A71C35"/>
    <w:rPr>
      <w:vertAlign w:val="superscript"/>
    </w:rPr>
  </w:style>
  <w:style w:type="character" w:customStyle="1" w:styleId="Hyperlink1">
    <w:name w:val="Hyperlink1"/>
    <w:basedOn w:val="DefaultParagraphFont"/>
    <w:uiPriority w:val="99"/>
    <w:unhideWhenUsed/>
    <w:rsid w:val="00A71C35"/>
    <w:rPr>
      <w:color w:val="17BBFD"/>
      <w:u w:val="single"/>
    </w:rPr>
  </w:style>
  <w:style w:type="paragraph" w:customStyle="1" w:styleId="Heading31">
    <w:name w:val="Heading 31"/>
    <w:basedOn w:val="ListParagraph"/>
    <w:next w:val="Normal"/>
    <w:uiPriority w:val="9"/>
    <w:unhideWhenUsed/>
    <w:qFormat/>
    <w:rsid w:val="00A71C35"/>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 w:type="character" w:styleId="Hyperlink">
    <w:name w:val="Hyperlink"/>
    <w:basedOn w:val="DefaultParagraphFont"/>
    <w:uiPriority w:val="99"/>
    <w:semiHidden/>
    <w:unhideWhenUsed/>
    <w:rsid w:val="00A71C35"/>
    <w:rPr>
      <w:color w:val="0000FF" w:themeColor="hyperlink"/>
      <w:u w:val="single"/>
    </w:rPr>
  </w:style>
  <w:style w:type="paragraph" w:styleId="BalloonText">
    <w:name w:val="Balloon Text"/>
    <w:basedOn w:val="Normal"/>
    <w:link w:val="BalloonTextChar"/>
    <w:uiPriority w:val="99"/>
    <w:semiHidden/>
    <w:unhideWhenUsed/>
    <w:rsid w:val="00A71C35"/>
    <w:rPr>
      <w:rFonts w:ascii="Tahoma" w:hAnsi="Tahoma" w:cs="Tahoma"/>
      <w:sz w:val="16"/>
      <w:szCs w:val="16"/>
    </w:rPr>
  </w:style>
  <w:style w:type="character" w:customStyle="1" w:styleId="BalloonTextChar">
    <w:name w:val="Balloon Text Char"/>
    <w:basedOn w:val="DefaultParagraphFont"/>
    <w:link w:val="BalloonText"/>
    <w:uiPriority w:val="99"/>
    <w:semiHidden/>
    <w:rsid w:val="00A71C3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4D74"/>
  </w:style>
  <w:style w:type="paragraph" w:styleId="Heading1">
    <w:name w:val="heading 1"/>
    <w:basedOn w:val="ListParagraph"/>
    <w:next w:val="Normal"/>
    <w:link w:val="Heading1Char"/>
    <w:autoRedefine/>
    <w:uiPriority w:val="9"/>
    <w:qFormat/>
    <w:rsid w:val="00374D74"/>
    <w:pPr>
      <w:ind w:left="0"/>
      <w:jc w:val="both"/>
      <w:outlineLvl w:val="0"/>
    </w:pPr>
    <w:rPr>
      <w:b/>
      <w:sz w:val="44"/>
      <w:szCs w:val="44"/>
    </w:rPr>
  </w:style>
  <w:style w:type="paragraph" w:styleId="Heading2">
    <w:name w:val="heading 2"/>
    <w:basedOn w:val="Normal"/>
    <w:next w:val="Normal"/>
    <w:link w:val="Heading2Char"/>
    <w:uiPriority w:val="9"/>
    <w:unhideWhenUsed/>
    <w:qFormat/>
    <w:rsid w:val="00374D74"/>
    <w:pPr>
      <w:outlineLvl w:val="1"/>
    </w:pPr>
    <w:rPr>
      <w:b/>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TOC2"/>
    <w:qFormat/>
    <w:rsid w:val="00374D74"/>
    <w:rPr>
      <w:b/>
      <w:sz w:val="24"/>
    </w:rPr>
  </w:style>
  <w:style w:type="paragraph" w:styleId="TOC2">
    <w:name w:val="toc 2"/>
    <w:basedOn w:val="Normal"/>
    <w:next w:val="Normal"/>
    <w:autoRedefine/>
    <w:uiPriority w:val="39"/>
    <w:unhideWhenUsed/>
    <w:qFormat/>
    <w:rsid w:val="00374D74"/>
    <w:pPr>
      <w:tabs>
        <w:tab w:val="right" w:leader="dot" w:pos="9678"/>
      </w:tabs>
      <w:spacing w:after="100"/>
      <w:jc w:val="both"/>
    </w:pPr>
    <w:rPr>
      <w:rFonts w:eastAsiaTheme="minorEastAsia"/>
      <w:noProof/>
      <w:sz w:val="36"/>
      <w:szCs w:val="36"/>
      <w:lang w:val="en-US" w:eastAsia="ja-JP"/>
    </w:rPr>
  </w:style>
  <w:style w:type="paragraph" w:customStyle="1" w:styleId="Style2">
    <w:name w:val="Style2"/>
    <w:basedOn w:val="TOC2"/>
    <w:autoRedefine/>
    <w:qFormat/>
    <w:rsid w:val="00374D74"/>
    <w:rPr>
      <w:b/>
      <w:sz w:val="24"/>
    </w:rPr>
  </w:style>
  <w:style w:type="paragraph" w:customStyle="1" w:styleId="Style3">
    <w:name w:val="Style3"/>
    <w:basedOn w:val="TOC2"/>
    <w:qFormat/>
    <w:rsid w:val="00374D74"/>
    <w:rPr>
      <w:b/>
      <w:sz w:val="24"/>
    </w:rPr>
  </w:style>
  <w:style w:type="paragraph" w:customStyle="1" w:styleId="Style4">
    <w:name w:val="Style4"/>
    <w:basedOn w:val="TOC2"/>
    <w:qFormat/>
    <w:rsid w:val="00374D74"/>
    <w:rPr>
      <w:b/>
      <w:sz w:val="24"/>
    </w:rPr>
  </w:style>
  <w:style w:type="paragraph" w:customStyle="1" w:styleId="Style5">
    <w:name w:val="Style5"/>
    <w:basedOn w:val="TOC2"/>
    <w:qFormat/>
    <w:rsid w:val="00374D74"/>
    <w:rPr>
      <w:b/>
      <w:sz w:val="24"/>
    </w:rPr>
  </w:style>
  <w:style w:type="paragraph" w:customStyle="1" w:styleId="Style6">
    <w:name w:val="Style6"/>
    <w:basedOn w:val="TOC2"/>
    <w:qFormat/>
    <w:rsid w:val="00374D74"/>
    <w:rPr>
      <w:b/>
      <w:sz w:val="24"/>
    </w:rPr>
  </w:style>
  <w:style w:type="paragraph" w:customStyle="1" w:styleId="Style7">
    <w:name w:val="Style7"/>
    <w:basedOn w:val="TOC1"/>
    <w:qFormat/>
    <w:rsid w:val="00374D74"/>
  </w:style>
  <w:style w:type="paragraph" w:styleId="TOC1">
    <w:name w:val="toc 1"/>
    <w:basedOn w:val="Normal"/>
    <w:next w:val="Normal"/>
    <w:autoRedefine/>
    <w:uiPriority w:val="39"/>
    <w:unhideWhenUsed/>
    <w:qFormat/>
    <w:rsid w:val="00374D74"/>
    <w:pPr>
      <w:tabs>
        <w:tab w:val="left" w:pos="660"/>
        <w:tab w:val="right" w:leader="dot" w:pos="9678"/>
      </w:tabs>
      <w:spacing w:after="120"/>
      <w:outlineLvl w:val="0"/>
    </w:pPr>
    <w:rPr>
      <w:b/>
      <w:sz w:val="28"/>
      <w:szCs w:val="28"/>
    </w:rPr>
  </w:style>
  <w:style w:type="character" w:customStyle="1" w:styleId="Heading1Char">
    <w:name w:val="Heading 1 Char"/>
    <w:basedOn w:val="DefaultParagraphFont"/>
    <w:link w:val="Heading1"/>
    <w:uiPriority w:val="9"/>
    <w:rsid w:val="00374D74"/>
    <w:rPr>
      <w:rFonts w:ascii="Times New Roman" w:hAnsi="Times New Roman" w:cs="Times New Roman"/>
      <w:b/>
      <w:sz w:val="44"/>
      <w:szCs w:val="44"/>
    </w:rPr>
  </w:style>
  <w:style w:type="paragraph" w:styleId="ListParagraph">
    <w:name w:val="List Paragraph"/>
    <w:basedOn w:val="Normal"/>
    <w:uiPriority w:val="34"/>
    <w:qFormat/>
    <w:rsid w:val="00374D74"/>
    <w:pPr>
      <w:ind w:left="720"/>
      <w:contextualSpacing/>
    </w:pPr>
  </w:style>
  <w:style w:type="character" w:customStyle="1" w:styleId="Heading2Char">
    <w:name w:val="Heading 2 Char"/>
    <w:basedOn w:val="DefaultParagraphFont"/>
    <w:link w:val="Heading2"/>
    <w:uiPriority w:val="9"/>
    <w:rsid w:val="00374D74"/>
    <w:rPr>
      <w:rFonts w:ascii="Times New Roman" w:hAnsi="Times New Roman" w:cs="Times New Roman"/>
      <w:b/>
      <w:sz w:val="28"/>
      <w:szCs w:val="28"/>
      <w:lang w:eastAsia="en-GB"/>
    </w:rPr>
  </w:style>
  <w:style w:type="paragraph" w:styleId="TOC3">
    <w:name w:val="toc 3"/>
    <w:basedOn w:val="Normal"/>
    <w:next w:val="Normal"/>
    <w:autoRedefine/>
    <w:uiPriority w:val="39"/>
    <w:semiHidden/>
    <w:unhideWhenUsed/>
    <w:qFormat/>
    <w:rsid w:val="00374D74"/>
    <w:pPr>
      <w:spacing w:after="100"/>
      <w:ind w:left="440"/>
    </w:pPr>
    <w:rPr>
      <w:rFonts w:eastAsiaTheme="minorEastAsia"/>
      <w:lang w:val="en-US" w:eastAsia="ja-JP"/>
    </w:rPr>
  </w:style>
  <w:style w:type="character" w:styleId="Emphasis">
    <w:name w:val="Emphasis"/>
    <w:basedOn w:val="DefaultParagraphFont"/>
    <w:uiPriority w:val="20"/>
    <w:qFormat/>
    <w:rsid w:val="00374D74"/>
    <w:rPr>
      <w:i/>
      <w:iCs/>
    </w:rPr>
  </w:style>
  <w:style w:type="paragraph" w:styleId="NoSpacing">
    <w:name w:val="No Spacing"/>
    <w:uiPriority w:val="1"/>
    <w:qFormat/>
    <w:rsid w:val="00374D74"/>
    <w:rPr>
      <w:rFonts w:eastAsia="Times New Roman"/>
      <w:lang w:eastAsia="en-GB"/>
    </w:rPr>
  </w:style>
  <w:style w:type="paragraph" w:styleId="TOCHeading">
    <w:name w:val="TOC Heading"/>
    <w:basedOn w:val="Heading1"/>
    <w:next w:val="Normal"/>
    <w:uiPriority w:val="39"/>
    <w:semiHidden/>
    <w:unhideWhenUsed/>
    <w:qFormat/>
    <w:rsid w:val="00374D74"/>
    <w:pPr>
      <w:outlineLvl w:val="9"/>
    </w:pPr>
    <w:rPr>
      <w:lang w:val="en-US" w:eastAsia="ja-JP"/>
    </w:rPr>
  </w:style>
  <w:style w:type="paragraph" w:styleId="FootnoteText">
    <w:name w:val="footnote text"/>
    <w:basedOn w:val="Normal"/>
    <w:link w:val="FootnoteTextChar"/>
    <w:uiPriority w:val="99"/>
    <w:semiHidden/>
    <w:unhideWhenUsed/>
    <w:rsid w:val="00A71C35"/>
    <w:rPr>
      <w:sz w:val="20"/>
      <w:szCs w:val="20"/>
    </w:rPr>
  </w:style>
  <w:style w:type="character" w:customStyle="1" w:styleId="FootnoteTextChar">
    <w:name w:val="Footnote Text Char"/>
    <w:basedOn w:val="DefaultParagraphFont"/>
    <w:link w:val="FootnoteText"/>
    <w:uiPriority w:val="99"/>
    <w:semiHidden/>
    <w:rsid w:val="00A71C35"/>
    <w:rPr>
      <w:sz w:val="20"/>
      <w:szCs w:val="20"/>
    </w:rPr>
  </w:style>
  <w:style w:type="character" w:styleId="FootnoteReference">
    <w:name w:val="footnote reference"/>
    <w:aliases w:val="ftref,16 Point,Superscript 6 Point,Footnote Reference Number,Ref,de nota al pie,BVI fnr,Superscript 10 Point,Footnote symbol"/>
    <w:basedOn w:val="DefaultParagraphFont"/>
    <w:uiPriority w:val="99"/>
    <w:rsid w:val="00A71C35"/>
    <w:rPr>
      <w:vertAlign w:val="superscript"/>
    </w:rPr>
  </w:style>
  <w:style w:type="character" w:customStyle="1" w:styleId="Hyperlink1">
    <w:name w:val="Hyperlink1"/>
    <w:basedOn w:val="DefaultParagraphFont"/>
    <w:uiPriority w:val="99"/>
    <w:unhideWhenUsed/>
    <w:rsid w:val="00A71C35"/>
    <w:rPr>
      <w:color w:val="17BBFD"/>
      <w:u w:val="single"/>
    </w:rPr>
  </w:style>
  <w:style w:type="paragraph" w:customStyle="1" w:styleId="Heading31">
    <w:name w:val="Heading 31"/>
    <w:basedOn w:val="ListParagraph"/>
    <w:next w:val="Normal"/>
    <w:uiPriority w:val="9"/>
    <w:unhideWhenUsed/>
    <w:qFormat/>
    <w:rsid w:val="00A71C35"/>
    <w:pPr>
      <w:keepNext/>
      <w:numPr>
        <w:numId w:val="1"/>
      </w:numPr>
      <w:spacing w:after="200" w:line="276" w:lineRule="auto"/>
      <w:ind w:left="360"/>
      <w:contextualSpacing w:val="0"/>
      <w:outlineLvl w:val="2"/>
    </w:pPr>
    <w:rPr>
      <w:rFonts w:ascii="Calibri" w:eastAsia="SimSun" w:hAnsi="Calibri"/>
      <w:b/>
      <w:color w:val="auto"/>
      <w:sz w:val="22"/>
      <w:szCs w:val="22"/>
      <w:lang w:val="en-US"/>
    </w:rPr>
  </w:style>
  <w:style w:type="character" w:styleId="Hyperlink">
    <w:name w:val="Hyperlink"/>
    <w:basedOn w:val="DefaultParagraphFont"/>
    <w:uiPriority w:val="99"/>
    <w:semiHidden/>
    <w:unhideWhenUsed/>
    <w:rsid w:val="00A71C35"/>
    <w:rPr>
      <w:color w:val="0000FF" w:themeColor="hyperlink"/>
      <w:u w:val="single"/>
    </w:rPr>
  </w:style>
  <w:style w:type="paragraph" w:styleId="BalloonText">
    <w:name w:val="Balloon Text"/>
    <w:basedOn w:val="Normal"/>
    <w:link w:val="BalloonTextChar"/>
    <w:uiPriority w:val="99"/>
    <w:semiHidden/>
    <w:unhideWhenUsed/>
    <w:rsid w:val="00A71C35"/>
    <w:rPr>
      <w:rFonts w:ascii="Tahoma" w:hAnsi="Tahoma" w:cs="Tahoma"/>
      <w:sz w:val="16"/>
      <w:szCs w:val="16"/>
    </w:rPr>
  </w:style>
  <w:style w:type="character" w:customStyle="1" w:styleId="BalloonTextChar">
    <w:name w:val="Balloon Text Char"/>
    <w:basedOn w:val="DefaultParagraphFont"/>
    <w:link w:val="BalloonText"/>
    <w:uiPriority w:val="99"/>
    <w:semiHidden/>
    <w:rsid w:val="00A71C3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gender/landrights/home/e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fao.org/gender/landrights/home/en/" TargetMode="External"/><Relationship Id="rId4" Type="http://schemas.openxmlformats.org/officeDocument/2006/relationships/settings" Target="settings.xml"/><Relationship Id="rId9" Type="http://schemas.openxmlformats.org/officeDocument/2006/relationships/hyperlink" Target="http://www.fao.org/economic/ess/ess-wca/wca-2000/ess-wca2000-tables/en/"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test.fao.org/glrd/data-map/statistics/en/" TargetMode="External"/><Relationship Id="rId2" Type="http://schemas.openxmlformats.org/officeDocument/2006/relationships/hyperlink" Target="http://www.fao.org/docrep/009/a0135e/A0135E00.htm" TargetMode="External"/><Relationship Id="rId1" Type="http://schemas.openxmlformats.org/officeDocument/2006/relationships/hyperlink" Target="http://genderstats.org/ED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2732</Words>
  <Characters>15574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18270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Benjamin Rae</dc:creator>
  <cp:lastModifiedBy>Benjamin Rae</cp:lastModifiedBy>
  <cp:revision>1</cp:revision>
  <dcterms:created xsi:type="dcterms:W3CDTF">2015-09-22T13:27:00Z</dcterms:created>
  <dcterms:modified xsi:type="dcterms:W3CDTF">2015-09-22T13:27:00Z</dcterms:modified>
</cp:coreProperties>
</file>